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ascii="Times New Roman" w:hAnsi="Times New Roman" w:eastAsia="方正小标宋简体"/>
          <w:color w:val="auto"/>
          <w:spacing w:val="10"/>
          <w:sz w:val="44"/>
          <w:szCs w:val="44"/>
          <w:highlight w:val="none"/>
        </w:rPr>
      </w:pPr>
      <w:r>
        <w:rPr>
          <w:rFonts w:hint="eastAsia" w:ascii="Times New Roman" w:hAnsi="Times New Roman" w:eastAsia="方正小标宋简体"/>
          <w:color w:val="auto"/>
          <w:spacing w:val="10"/>
          <w:sz w:val="44"/>
          <w:szCs w:val="44"/>
          <w:highlight w:val="none"/>
          <w:lang w:eastAsia="zh-CN"/>
        </w:rPr>
        <w:t>泰安市泰山区综合行政执法局</w:t>
      </w:r>
      <w:r>
        <w:rPr>
          <w:rFonts w:hint="eastAsia" w:ascii="Times New Roman" w:hAnsi="Times New Roman" w:eastAsia="方正小标宋简体"/>
          <w:color w:val="auto"/>
          <w:spacing w:val="10"/>
          <w:sz w:val="44"/>
          <w:szCs w:val="44"/>
          <w:highlight w:val="none"/>
        </w:rPr>
        <w:t>202</w:t>
      </w:r>
      <w:r>
        <w:rPr>
          <w:rFonts w:hint="default" w:ascii="Times New Roman" w:hAnsi="Times New Roman" w:eastAsia="方正小标宋简体"/>
          <w:color w:val="auto"/>
          <w:spacing w:val="10"/>
          <w:sz w:val="44"/>
          <w:szCs w:val="44"/>
          <w:highlight w:val="none"/>
          <w:lang w:val="en"/>
        </w:rPr>
        <w:t>4</w:t>
      </w:r>
      <w:r>
        <w:rPr>
          <w:rFonts w:ascii="Times New Roman" w:hAnsi="Times New Roman" w:eastAsia="方正小标宋简体"/>
          <w:color w:val="auto"/>
          <w:spacing w:val="10"/>
          <w:sz w:val="44"/>
          <w:szCs w:val="44"/>
          <w:highlight w:val="none"/>
        </w:rPr>
        <w:t>年政府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ascii="Times New Roman" w:hAnsi="Times New Roman" w:eastAsia="方正小标宋简体"/>
          <w:color w:val="auto"/>
          <w:spacing w:val="10"/>
          <w:sz w:val="44"/>
          <w:szCs w:val="44"/>
          <w:highlight w:val="none"/>
        </w:rPr>
      </w:pPr>
      <w:r>
        <w:rPr>
          <w:rFonts w:ascii="Times New Roman" w:hAnsi="Times New Roman" w:eastAsia="方正小标宋简体"/>
          <w:color w:val="auto"/>
          <w:spacing w:val="10"/>
          <w:sz w:val="44"/>
          <w:szCs w:val="44"/>
          <w:highlight w:val="none"/>
        </w:rPr>
        <w:t>信息公开工作年度报告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880" w:firstLineChars="200"/>
        <w:jc w:val="both"/>
        <w:textAlignment w:val="auto"/>
        <w:rPr>
          <w:rFonts w:ascii="Times New Roman" w:hAnsi="Times New Roman" w:eastAsia="方正小标宋简体"/>
          <w:color w:val="auto"/>
          <w:sz w:val="44"/>
          <w:szCs w:val="44"/>
          <w:highlight w:val="none"/>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根据《中华人民共和国政府信息公开条例》，特向社会公布202</w:t>
      </w:r>
      <w:r>
        <w:rPr>
          <w:rFonts w:hint="default" w:ascii="仿宋_GB2312" w:eastAsia="仿宋_GB2312"/>
          <w:color w:val="auto"/>
          <w:sz w:val="32"/>
          <w:szCs w:val="32"/>
          <w:highlight w:val="none"/>
          <w:lang w:val="en"/>
        </w:rPr>
        <w:t>4</w:t>
      </w:r>
      <w:r>
        <w:rPr>
          <w:rFonts w:hint="eastAsia" w:ascii="仿宋_GB2312" w:eastAsia="仿宋_GB2312"/>
          <w:color w:val="auto"/>
          <w:sz w:val="32"/>
          <w:szCs w:val="32"/>
          <w:highlight w:val="none"/>
        </w:rPr>
        <w:t>年本机关政府信息公开工作年度报告。全文包括：年度报告应当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default" w:ascii="仿宋_GB2312" w:eastAsia="仿宋_GB2312"/>
          <w:color w:val="auto"/>
          <w:sz w:val="32"/>
          <w:szCs w:val="32"/>
          <w:highlight w:val="none"/>
          <w:lang w:val="en"/>
        </w:rPr>
        <w:t>4</w:t>
      </w:r>
      <w:r>
        <w:rPr>
          <w:rFonts w:hint="eastAsia" w:ascii="仿宋_GB2312" w:eastAsia="仿宋_GB2312"/>
          <w:color w:val="auto"/>
          <w:sz w:val="32"/>
          <w:szCs w:val="32"/>
          <w:highlight w:val="none"/>
        </w:rPr>
        <w:t>年1月1日起至202</w:t>
      </w:r>
      <w:r>
        <w:rPr>
          <w:rFonts w:hint="default" w:ascii="仿宋_GB2312" w:eastAsia="仿宋_GB2312"/>
          <w:color w:val="auto"/>
          <w:sz w:val="32"/>
          <w:szCs w:val="32"/>
          <w:highlight w:val="none"/>
          <w:lang w:val="en"/>
        </w:rPr>
        <w:t>4</w:t>
      </w:r>
      <w:r>
        <w:rPr>
          <w:rFonts w:hint="eastAsia" w:ascii="仿宋_GB2312" w:eastAsia="仿宋_GB2312"/>
          <w:color w:val="auto"/>
          <w:sz w:val="32"/>
          <w:szCs w:val="32"/>
          <w:highlight w:val="none"/>
        </w:rPr>
        <w:t>年12月31日止。</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黑体" w:hAnsi="黑体" w:eastAsia="黑体"/>
          <w:color w:val="auto"/>
          <w:sz w:val="32"/>
          <w:szCs w:val="32"/>
          <w:highlight w:val="none"/>
        </w:rPr>
      </w:pPr>
      <w:r>
        <w:rPr>
          <w:rFonts w:ascii="黑体" w:hAnsi="黑体" w:eastAsia="黑体"/>
          <w:color w:val="auto"/>
          <w:sz w:val="32"/>
          <w:szCs w:val="32"/>
          <w:highlight w:val="none"/>
        </w:rPr>
        <w:t>一、总体情况</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泰山区</w:t>
      </w:r>
      <w:r>
        <w:rPr>
          <w:rFonts w:hint="eastAsia" w:ascii="仿宋_GB2312" w:eastAsia="仿宋_GB2312"/>
          <w:color w:val="auto"/>
          <w:sz w:val="32"/>
          <w:szCs w:val="32"/>
          <w:highlight w:val="none"/>
        </w:rPr>
        <w:t>综合行政执法局在</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rPr>
        <w:t>委、</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rPr>
        <w:t>政府的正确领导下，深入学习贯彻习近平新时代中国特色社会主义思想，认真贯彻落实《中华人民共和国政府信息公开条例》，加强组织领导，完善工作机制，扎实开展信息公开工作，进一步拓展公开内容，不断规范公开形式，努力推进信息制度化、规范化、日常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auto"/>
          <w:sz w:val="32"/>
          <w:szCs w:val="32"/>
          <w:highlight w:val="none"/>
          <w:lang w:val="en"/>
        </w:rPr>
      </w:pPr>
      <w:r>
        <w:rPr>
          <w:rFonts w:hint="eastAsia" w:ascii="楷体_GB2312" w:hAnsi="楷体_GB2312" w:eastAsia="楷体_GB2312" w:cs="楷体_GB2312"/>
          <w:b w:val="0"/>
          <w:bCs w:val="0"/>
          <w:color w:val="auto"/>
          <w:sz w:val="32"/>
          <w:szCs w:val="32"/>
          <w:highlight w:val="none"/>
          <w:lang w:eastAsia="zh-CN"/>
        </w:rPr>
        <w:t>（一）</w:t>
      </w:r>
      <w:r>
        <w:rPr>
          <w:rFonts w:hint="eastAsia" w:ascii="楷体_GB2312" w:hAnsi="楷体_GB2312" w:eastAsia="楷体_GB2312" w:cs="楷体_GB2312"/>
          <w:b w:val="0"/>
          <w:bCs w:val="0"/>
          <w:color w:val="auto"/>
          <w:sz w:val="32"/>
          <w:szCs w:val="32"/>
          <w:highlight w:val="none"/>
        </w:rPr>
        <w:t>主动公开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2024年，</w:t>
      </w:r>
      <w:r>
        <w:rPr>
          <w:rFonts w:hint="eastAsia" w:ascii="仿宋_GB2312" w:eastAsia="仿宋_GB2312"/>
          <w:color w:val="auto"/>
          <w:sz w:val="32"/>
          <w:szCs w:val="32"/>
          <w:highlight w:val="none"/>
        </w:rPr>
        <w:t>我局按照政府信息公开要求，</w:t>
      </w:r>
      <w:r>
        <w:rPr>
          <w:rFonts w:hint="eastAsia" w:ascii="仿宋_GB2312" w:eastAsia="仿宋_GB2312"/>
          <w:color w:val="auto"/>
          <w:sz w:val="32"/>
          <w:szCs w:val="32"/>
          <w:highlight w:val="none"/>
          <w:lang w:eastAsia="zh-CN"/>
        </w:rPr>
        <w:t>围绕中心工作，聚焦重点领域，</w:t>
      </w:r>
      <w:r>
        <w:rPr>
          <w:rFonts w:hint="eastAsia" w:ascii="仿宋_GB2312" w:eastAsia="仿宋_GB2312"/>
          <w:color w:val="auto"/>
          <w:sz w:val="32"/>
          <w:szCs w:val="32"/>
          <w:highlight w:val="none"/>
        </w:rPr>
        <w:t>通过</w:t>
      </w:r>
      <w:r>
        <w:rPr>
          <w:rFonts w:hint="eastAsia" w:ascii="仿宋_GB2312" w:eastAsia="仿宋_GB2312"/>
          <w:color w:val="auto"/>
          <w:sz w:val="32"/>
          <w:szCs w:val="32"/>
          <w:highlight w:val="none"/>
          <w:lang w:eastAsia="zh-CN"/>
        </w:rPr>
        <w:t>政府信息公开平台</w:t>
      </w:r>
      <w:r>
        <w:rPr>
          <w:rFonts w:hint="eastAsia" w:ascii="仿宋_GB2312" w:eastAsia="仿宋_GB2312"/>
          <w:color w:val="auto"/>
          <w:sz w:val="32"/>
          <w:szCs w:val="32"/>
          <w:highlight w:val="none"/>
        </w:rPr>
        <w:t>发布部门文件、工作动态、重大行政决策等公开信息</w:t>
      </w:r>
      <w:r>
        <w:rPr>
          <w:rFonts w:hint="eastAsia" w:ascii="仿宋_GB2312" w:eastAsia="仿宋_GB2312"/>
          <w:color w:val="auto"/>
          <w:sz w:val="32"/>
          <w:szCs w:val="32"/>
          <w:highlight w:val="none"/>
          <w:lang w:val="en-US" w:eastAsia="zh-CN"/>
        </w:rPr>
        <w:t>102</w:t>
      </w:r>
      <w:r>
        <w:rPr>
          <w:rFonts w:hint="eastAsia" w:ascii="仿宋_GB2312" w:eastAsia="仿宋_GB2312"/>
          <w:color w:val="auto"/>
          <w:sz w:val="32"/>
          <w:szCs w:val="32"/>
          <w:highlight w:val="none"/>
        </w:rPr>
        <w:t>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b w:val="0"/>
          <w:bCs w:val="0"/>
          <w:color w:val="auto"/>
          <w:sz w:val="32"/>
          <w:szCs w:val="32"/>
          <w:highlight w:val="none"/>
          <w:lang w:val="en" w:eastAsia="zh-CN"/>
        </w:rPr>
      </w:pPr>
      <w:r>
        <w:rPr>
          <w:rFonts w:hint="eastAsia" w:ascii="楷体_GB2312" w:hAnsi="楷体_GB2312" w:eastAsia="楷体_GB2312" w:cs="楷体_GB2312"/>
          <w:b w:val="0"/>
          <w:bCs w:val="0"/>
          <w:color w:val="auto"/>
          <w:sz w:val="32"/>
          <w:szCs w:val="32"/>
          <w:highlight w:val="none"/>
          <w:lang w:eastAsia="zh-CN"/>
        </w:rPr>
        <w:t>（二）依申请公开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eastAsia="仿宋_GB2312"/>
          <w:color w:val="auto"/>
          <w:sz w:val="32"/>
          <w:szCs w:val="32"/>
          <w:highlight w:val="none"/>
          <w:lang w:val="en" w:eastAsia="zh-CN"/>
        </w:rPr>
      </w:pPr>
      <w:r>
        <w:rPr>
          <w:rFonts w:hint="default" w:ascii="仿宋_GB2312" w:eastAsia="仿宋_GB2312"/>
          <w:color w:val="auto"/>
          <w:sz w:val="32"/>
          <w:szCs w:val="32"/>
          <w:highlight w:val="none"/>
          <w:lang w:val="en" w:eastAsia="zh-CN"/>
        </w:rPr>
        <w:t>202</w:t>
      </w:r>
      <w:r>
        <w:rPr>
          <w:rFonts w:hint="eastAsia" w:ascii="仿宋_GB2312" w:eastAsia="仿宋_GB2312"/>
          <w:color w:val="auto"/>
          <w:sz w:val="32"/>
          <w:szCs w:val="32"/>
          <w:highlight w:val="none"/>
          <w:lang w:val="en-US" w:eastAsia="zh-CN"/>
        </w:rPr>
        <w:t>4</w:t>
      </w:r>
      <w:r>
        <w:rPr>
          <w:rFonts w:hint="default" w:ascii="仿宋_GB2312" w:eastAsia="仿宋_GB2312"/>
          <w:color w:val="auto"/>
          <w:sz w:val="32"/>
          <w:szCs w:val="32"/>
          <w:highlight w:val="none"/>
          <w:lang w:val="en" w:eastAsia="zh-CN"/>
        </w:rPr>
        <w:t>年度我局</w:t>
      </w:r>
      <w:r>
        <w:rPr>
          <w:rFonts w:hint="eastAsia" w:ascii="仿宋_GB2312" w:eastAsia="仿宋_GB2312"/>
          <w:color w:val="auto"/>
          <w:sz w:val="32"/>
          <w:szCs w:val="32"/>
          <w:highlight w:val="none"/>
          <w:lang w:val="en" w:eastAsia="zh-CN"/>
        </w:rPr>
        <w:t>共收到政府信息公开申请</w:t>
      </w:r>
      <w:r>
        <w:rPr>
          <w:rFonts w:hint="eastAsia" w:ascii="仿宋_GB2312" w:eastAsia="仿宋_GB2312"/>
          <w:color w:val="auto"/>
          <w:sz w:val="32"/>
          <w:szCs w:val="32"/>
          <w:highlight w:val="none"/>
          <w:lang w:val="en-US" w:eastAsia="zh-CN"/>
        </w:rPr>
        <w:t>2件，全部依法合规答复，未收取信息处理费</w:t>
      </w:r>
      <w:r>
        <w:rPr>
          <w:rFonts w:hint="default" w:ascii="仿宋_GB2312" w:eastAsia="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b w:val="0"/>
          <w:bCs w:val="0"/>
          <w:color w:val="auto"/>
          <w:sz w:val="32"/>
          <w:szCs w:val="32"/>
          <w:highlight w:val="none"/>
          <w:lang w:val="en" w:eastAsia="zh-CN"/>
        </w:rPr>
      </w:pPr>
      <w:r>
        <w:rPr>
          <w:rFonts w:hint="eastAsia" w:ascii="楷体_GB2312" w:hAnsi="楷体_GB2312" w:eastAsia="楷体_GB2312" w:cs="楷体_GB2312"/>
          <w:b w:val="0"/>
          <w:bCs w:val="0"/>
          <w:color w:val="auto"/>
          <w:sz w:val="32"/>
          <w:szCs w:val="32"/>
          <w:highlight w:val="none"/>
          <w:lang w:eastAsia="zh-CN"/>
        </w:rPr>
        <w:t>（三）政府信息管理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s="Times New Roman"/>
          <w:color w:val="auto"/>
          <w:kern w:val="0"/>
          <w:sz w:val="32"/>
          <w:szCs w:val="32"/>
          <w:highlight w:val="none"/>
          <w:lang w:val="en" w:eastAsia="zh-CN" w:bidi="ar-SA"/>
        </w:rPr>
      </w:pPr>
      <w:r>
        <w:rPr>
          <w:rFonts w:hint="default" w:ascii="仿宋_GB2312" w:hAnsi="Calibri" w:eastAsia="仿宋_GB2312" w:cs="Times New Roman"/>
          <w:color w:val="auto"/>
          <w:kern w:val="0"/>
          <w:sz w:val="32"/>
          <w:szCs w:val="32"/>
          <w:highlight w:val="none"/>
          <w:lang w:val="en" w:eastAsia="zh-CN" w:bidi="ar-SA"/>
        </w:rPr>
        <w:t>20</w:t>
      </w:r>
      <w:r>
        <w:rPr>
          <w:rFonts w:hint="eastAsia" w:ascii="仿宋_GB2312" w:hAnsi="Calibri" w:eastAsia="仿宋_GB2312" w:cs="Times New Roman"/>
          <w:color w:val="auto"/>
          <w:kern w:val="0"/>
          <w:sz w:val="32"/>
          <w:szCs w:val="32"/>
          <w:highlight w:val="none"/>
          <w:lang w:val="en-US" w:eastAsia="zh-CN" w:bidi="ar-SA"/>
        </w:rPr>
        <w:t>24</w:t>
      </w:r>
      <w:r>
        <w:rPr>
          <w:rFonts w:hint="default" w:ascii="仿宋_GB2312" w:hAnsi="Calibri" w:eastAsia="仿宋_GB2312" w:cs="Times New Roman"/>
          <w:color w:val="auto"/>
          <w:kern w:val="0"/>
          <w:sz w:val="32"/>
          <w:szCs w:val="32"/>
          <w:highlight w:val="none"/>
          <w:lang w:val="en" w:eastAsia="zh-CN" w:bidi="ar-SA"/>
        </w:rPr>
        <w:t>年，我局始终把政府信息工作列入年度重要工作，强化组织领导，细化工作细则，明确专人负责。高度重视</w:t>
      </w:r>
      <w:r>
        <w:rPr>
          <w:rFonts w:hint="eastAsia" w:ascii="仿宋_GB2312" w:hAnsi="Calibri" w:eastAsia="仿宋_GB2312" w:cs="Times New Roman"/>
          <w:color w:val="auto"/>
          <w:kern w:val="0"/>
          <w:sz w:val="32"/>
          <w:szCs w:val="32"/>
          <w:highlight w:val="none"/>
          <w:lang w:val="en" w:eastAsia="zh-CN" w:bidi="ar-SA"/>
        </w:rPr>
        <w:t>政府信息发布</w:t>
      </w:r>
      <w:r>
        <w:rPr>
          <w:rFonts w:hint="default" w:ascii="仿宋_GB2312" w:hAnsi="Calibri" w:eastAsia="仿宋_GB2312" w:cs="Times New Roman"/>
          <w:color w:val="auto"/>
          <w:kern w:val="0"/>
          <w:sz w:val="32"/>
          <w:szCs w:val="32"/>
          <w:highlight w:val="none"/>
          <w:lang w:val="en" w:eastAsia="zh-CN" w:bidi="ar-SA"/>
        </w:rPr>
        <w:t>格式规范工作，由主要负责人亲自把关，确保</w:t>
      </w:r>
      <w:r>
        <w:rPr>
          <w:rFonts w:hint="eastAsia" w:ascii="仿宋_GB2312" w:hAnsi="Calibri" w:eastAsia="仿宋_GB2312" w:cs="Times New Roman"/>
          <w:color w:val="auto"/>
          <w:kern w:val="0"/>
          <w:sz w:val="32"/>
          <w:szCs w:val="32"/>
          <w:highlight w:val="none"/>
          <w:lang w:val="en" w:eastAsia="zh-CN" w:bidi="ar-SA"/>
        </w:rPr>
        <w:t>政策文件等信息</w:t>
      </w:r>
      <w:r>
        <w:rPr>
          <w:rFonts w:hint="default" w:ascii="仿宋_GB2312" w:hAnsi="Calibri" w:eastAsia="仿宋_GB2312" w:cs="Times New Roman"/>
          <w:color w:val="auto"/>
          <w:kern w:val="0"/>
          <w:sz w:val="32"/>
          <w:szCs w:val="32"/>
          <w:highlight w:val="none"/>
          <w:lang w:val="en" w:eastAsia="zh-CN" w:bidi="ar-SA"/>
        </w:rPr>
        <w:t>格式规范无误，同时定期清理</w:t>
      </w:r>
      <w:r>
        <w:rPr>
          <w:rFonts w:hint="eastAsia" w:ascii="仿宋_GB2312" w:hAnsi="Calibri" w:eastAsia="仿宋_GB2312" w:cs="Times New Roman"/>
          <w:color w:val="auto"/>
          <w:kern w:val="0"/>
          <w:sz w:val="32"/>
          <w:szCs w:val="32"/>
          <w:highlight w:val="none"/>
          <w:lang w:val="en" w:eastAsia="zh-CN" w:bidi="ar-SA"/>
        </w:rPr>
        <w:t>失效信息，防治信息堆积汇聚引发的泄密风险。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b w:val="0"/>
          <w:bCs w:val="0"/>
          <w:color w:val="auto"/>
          <w:sz w:val="32"/>
          <w:szCs w:val="32"/>
          <w:highlight w:val="none"/>
          <w:lang w:val="en" w:eastAsia="zh-CN"/>
        </w:rPr>
      </w:pPr>
      <w:r>
        <w:rPr>
          <w:rFonts w:hint="eastAsia" w:ascii="楷体_GB2312" w:hAnsi="楷体_GB2312" w:eastAsia="楷体_GB2312" w:cs="楷体_GB2312"/>
          <w:b w:val="0"/>
          <w:bCs w:val="0"/>
          <w:color w:val="auto"/>
          <w:sz w:val="32"/>
          <w:szCs w:val="32"/>
          <w:highlight w:val="none"/>
          <w:lang w:eastAsia="zh-CN"/>
        </w:rPr>
        <w:t>（四）政府信息公开平台建设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s="Times New Roman"/>
          <w:color w:val="auto"/>
          <w:kern w:val="0"/>
          <w:sz w:val="32"/>
          <w:szCs w:val="32"/>
          <w:highlight w:val="none"/>
          <w:lang w:val="en" w:eastAsia="zh-CN" w:bidi="ar-SA"/>
        </w:rPr>
      </w:pPr>
      <w:r>
        <w:rPr>
          <w:rFonts w:hint="default" w:ascii="仿宋_GB2312" w:hAnsi="Calibri" w:eastAsia="仿宋_GB2312" w:cs="Times New Roman"/>
          <w:color w:val="auto"/>
          <w:kern w:val="0"/>
          <w:sz w:val="32"/>
          <w:szCs w:val="32"/>
          <w:highlight w:val="none"/>
          <w:lang w:val="en" w:eastAsia="zh-CN" w:bidi="ar-SA"/>
        </w:rPr>
        <w:t>依托</w:t>
      </w:r>
      <w:r>
        <w:rPr>
          <w:rFonts w:hint="eastAsia" w:ascii="仿宋_GB2312" w:hAnsi="Calibri" w:eastAsia="仿宋_GB2312" w:cs="Times New Roman"/>
          <w:color w:val="auto"/>
          <w:kern w:val="0"/>
          <w:sz w:val="32"/>
          <w:szCs w:val="32"/>
          <w:highlight w:val="none"/>
          <w:lang w:val="en" w:eastAsia="zh-CN" w:bidi="ar-SA"/>
        </w:rPr>
        <w:t>泰山区</w:t>
      </w:r>
      <w:r>
        <w:rPr>
          <w:rFonts w:hint="default" w:ascii="仿宋_GB2312" w:hAnsi="Calibri" w:eastAsia="仿宋_GB2312" w:cs="Times New Roman"/>
          <w:color w:val="auto"/>
          <w:kern w:val="0"/>
          <w:sz w:val="32"/>
          <w:szCs w:val="32"/>
          <w:highlight w:val="none"/>
          <w:lang w:val="en" w:eastAsia="zh-CN" w:bidi="ar-SA"/>
        </w:rPr>
        <w:t>人民政府门户网站</w:t>
      </w:r>
      <w:r>
        <w:rPr>
          <w:rFonts w:hint="eastAsia" w:ascii="仿宋_GB2312" w:hAnsi="Calibri" w:eastAsia="仿宋_GB2312" w:cs="Times New Roman"/>
          <w:color w:val="auto"/>
          <w:kern w:val="0"/>
          <w:sz w:val="32"/>
          <w:szCs w:val="32"/>
          <w:highlight w:val="none"/>
          <w:lang w:val="en" w:eastAsia="zh-CN" w:bidi="ar-SA"/>
        </w:rPr>
        <w:t>及“掌上泰山区”客户端</w:t>
      </w:r>
      <w:r>
        <w:rPr>
          <w:rFonts w:hint="default" w:ascii="仿宋_GB2312" w:hAnsi="Calibri" w:eastAsia="仿宋_GB2312" w:cs="Times New Roman"/>
          <w:color w:val="auto"/>
          <w:kern w:val="0"/>
          <w:sz w:val="32"/>
          <w:szCs w:val="32"/>
          <w:highlight w:val="none"/>
          <w:lang w:val="en" w:eastAsia="zh-CN" w:bidi="ar-SA"/>
        </w:rPr>
        <w:t>，结合我局工作实际，及时发布各类政务服务信息。同时建立信息公开审核制度。按照政务信息公开工作的相关要求，及时做好政府信息的日常更新维护</w:t>
      </w:r>
      <w:r>
        <w:rPr>
          <w:rFonts w:hint="eastAsia" w:ascii="仿宋_GB2312" w:hAnsi="Calibri" w:eastAsia="仿宋_GB2312" w:cs="Times New Roman"/>
          <w:color w:val="auto"/>
          <w:kern w:val="0"/>
          <w:sz w:val="32"/>
          <w:szCs w:val="32"/>
          <w:highlight w:val="none"/>
          <w:lang w:val="e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b w:val="0"/>
          <w:bCs w:val="0"/>
          <w:color w:val="auto"/>
          <w:sz w:val="32"/>
          <w:szCs w:val="32"/>
          <w:highlight w:val="none"/>
          <w:lang w:val="en" w:eastAsia="zh-CN"/>
        </w:rPr>
      </w:pPr>
      <w:r>
        <w:rPr>
          <w:rFonts w:hint="eastAsia" w:ascii="楷体_GB2312" w:hAnsi="楷体_GB2312" w:eastAsia="楷体_GB2312" w:cs="楷体_GB2312"/>
          <w:b w:val="0"/>
          <w:bCs w:val="0"/>
          <w:color w:val="auto"/>
          <w:sz w:val="32"/>
          <w:szCs w:val="32"/>
          <w:highlight w:val="none"/>
          <w:lang w:eastAsia="zh-CN"/>
        </w:rPr>
        <w:t>（五）监督保障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Calibri" w:eastAsia="仿宋_GB2312" w:cs="Times New Roman"/>
          <w:color w:val="auto"/>
          <w:kern w:val="0"/>
          <w:sz w:val="32"/>
          <w:szCs w:val="32"/>
          <w:highlight w:val="none"/>
          <w:lang w:val="en" w:eastAsia="zh-CN" w:bidi="ar-SA"/>
        </w:rPr>
      </w:pPr>
      <w:r>
        <w:rPr>
          <w:rFonts w:hint="default" w:ascii="仿宋_GB2312" w:hAnsi="Calibri" w:eastAsia="仿宋_GB2312" w:cs="Times New Roman"/>
          <w:color w:val="auto"/>
          <w:kern w:val="0"/>
          <w:sz w:val="32"/>
          <w:szCs w:val="32"/>
          <w:highlight w:val="none"/>
          <w:lang w:val="en" w:eastAsia="zh-CN" w:bidi="ar-SA"/>
        </w:rPr>
        <w:t>一是建立健全政务公开工作机制，将政务公开专项工作纳入局目标管理考核，不定时对各部门政务信息报送情况进行督查，扎实推进基层政务公开工作</w:t>
      </w:r>
      <w:r>
        <w:rPr>
          <w:rFonts w:hint="eastAsia" w:ascii="仿宋_GB2312" w:hAnsi="Calibri" w:eastAsia="仿宋_GB2312" w:cs="Times New Roman"/>
          <w:color w:val="auto"/>
          <w:kern w:val="0"/>
          <w:sz w:val="32"/>
          <w:szCs w:val="32"/>
          <w:highlight w:val="none"/>
          <w:lang w:val="en" w:eastAsia="zh-CN" w:bidi="ar-SA"/>
        </w:rPr>
        <w:t>。</w:t>
      </w:r>
      <w:r>
        <w:rPr>
          <w:rFonts w:hint="default" w:ascii="仿宋_GB2312" w:hAnsi="Calibri" w:eastAsia="仿宋_GB2312" w:cs="Times New Roman"/>
          <w:color w:val="auto"/>
          <w:kern w:val="0"/>
          <w:sz w:val="32"/>
          <w:szCs w:val="32"/>
          <w:highlight w:val="none"/>
          <w:lang w:val="en" w:eastAsia="zh-CN" w:bidi="ar-SA"/>
        </w:rPr>
        <w:t>二是定期组织人员学习《条例》等与政务公开工作相关的法律法规，按要求参加政务公开工作培训、政务公开相关活动</w:t>
      </w:r>
      <w:r>
        <w:rPr>
          <w:rFonts w:hint="eastAsia" w:ascii="仿宋_GB2312" w:hAnsi="Calibri" w:eastAsia="仿宋_GB2312" w:cs="Times New Roman"/>
          <w:color w:val="auto"/>
          <w:kern w:val="0"/>
          <w:sz w:val="32"/>
          <w:szCs w:val="32"/>
          <w:highlight w:val="none"/>
          <w:lang w:val="en" w:eastAsia="zh-CN" w:bidi="ar-SA"/>
        </w:rPr>
        <w:t>。</w:t>
      </w:r>
      <w:r>
        <w:rPr>
          <w:rFonts w:hint="default" w:ascii="仿宋_GB2312" w:hAnsi="Calibri" w:eastAsia="仿宋_GB2312" w:cs="Times New Roman"/>
          <w:color w:val="auto"/>
          <w:kern w:val="0"/>
          <w:sz w:val="32"/>
          <w:szCs w:val="32"/>
          <w:highlight w:val="none"/>
          <w:lang w:val="en" w:eastAsia="zh-CN" w:bidi="ar-SA"/>
        </w:rPr>
        <w:t>三是主动接受监督，按要求定期公开政府信息工作考核、社会评价和责任追究情况等，对发现的问题及时整改，确保对外公开的信息，有政策支持、有数据支撑，有应对措施。在责任追究方面，</w:t>
      </w:r>
      <w:r>
        <w:rPr>
          <w:rFonts w:hint="eastAsia" w:ascii="仿宋_GB2312" w:hAnsi="Calibri" w:eastAsia="仿宋_GB2312" w:cs="Times New Roman"/>
          <w:color w:val="auto"/>
          <w:kern w:val="0"/>
          <w:sz w:val="32"/>
          <w:szCs w:val="32"/>
          <w:highlight w:val="none"/>
          <w:lang w:val="en-US" w:eastAsia="zh-CN" w:bidi="ar-SA"/>
        </w:rPr>
        <w:t>2024</w:t>
      </w:r>
      <w:r>
        <w:rPr>
          <w:rFonts w:hint="eastAsia" w:ascii="仿宋_GB2312" w:hAnsi="Calibri" w:eastAsia="仿宋_GB2312" w:cs="Times New Roman"/>
          <w:color w:val="auto"/>
          <w:kern w:val="0"/>
          <w:sz w:val="32"/>
          <w:szCs w:val="32"/>
          <w:highlight w:val="none"/>
          <w:lang w:val="en" w:eastAsia="zh-CN" w:bidi="ar-SA"/>
        </w:rPr>
        <w:t>年无因信息公开不到位进行责任追究的情况。</w:t>
      </w:r>
    </w:p>
    <w:p>
      <w:pPr>
        <w:pStyle w:val="5"/>
        <w:spacing w:before="0" w:beforeAutospacing="0" w:after="0" w:afterAutospacing="0" w:line="600" w:lineRule="exact"/>
        <w:ind w:firstLine="640" w:firstLineChars="200"/>
        <w:jc w:val="both"/>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二、</w:t>
      </w:r>
      <w:r>
        <w:rPr>
          <w:rFonts w:ascii="黑体" w:hAnsi="黑体" w:eastAsia="黑体"/>
          <w:color w:val="auto"/>
          <w:sz w:val="32"/>
          <w:szCs w:val="32"/>
          <w:highlight w:val="none"/>
        </w:rPr>
        <w:t>主动公开政府信息情况</w:t>
      </w:r>
    </w:p>
    <w:tbl>
      <w:tblPr>
        <w:tblStyle w:val="6"/>
        <w:tblW w:w="5000" w:type="pct"/>
        <w:tblInd w:w="0" w:type="dxa"/>
        <w:tblLayout w:type="autofit"/>
        <w:tblCellMar>
          <w:top w:w="0" w:type="dxa"/>
          <w:left w:w="108" w:type="dxa"/>
          <w:bottom w:w="0" w:type="dxa"/>
          <w:right w:w="108" w:type="dxa"/>
        </w:tblCellMar>
      </w:tblPr>
      <w:tblGrid>
        <w:gridCol w:w="2236"/>
        <w:gridCol w:w="2236"/>
        <w:gridCol w:w="2237"/>
        <w:gridCol w:w="2237"/>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auto"/>
                <w:kern w:val="0"/>
                <w:szCs w:val="21"/>
                <w:highlight w:val="none"/>
                <w:lang w:val="en-US" w:eastAsia="zh-CN"/>
              </w:rPr>
            </w:pPr>
            <w:r>
              <w:rPr>
                <w:rFonts w:hint="eastAsia" w:ascii="仿宋_GB2312" w:hAnsi="Calibri" w:eastAsia="仿宋_GB2312" w:cs="Calibri"/>
                <w:color w:val="auto"/>
                <w:kern w:val="0"/>
                <w:szCs w:val="21"/>
                <w:highlight w:val="none"/>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auto"/>
                <w:kern w:val="0"/>
                <w:szCs w:val="21"/>
                <w:highlight w:val="none"/>
                <w:lang w:val="en-US" w:eastAsia="zh-CN"/>
              </w:rPr>
            </w:pPr>
            <w:r>
              <w:rPr>
                <w:rFonts w:hint="eastAsia" w:ascii="仿宋_GB2312" w:hAnsi="Calibri" w:eastAsia="仿宋_GB2312" w:cs="Calibri"/>
                <w:color w:val="auto"/>
                <w:kern w:val="0"/>
                <w:szCs w:val="21"/>
                <w:highlight w:val="none"/>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highlight w:val="none"/>
                <w:lang w:val="en-US" w:eastAsia="zh-CN"/>
              </w:rPr>
            </w:pPr>
            <w:r>
              <w:rPr>
                <w:rFonts w:hint="eastAsia" w:ascii="仿宋_GB2312" w:hAnsi="Calibri" w:eastAsia="仿宋_GB2312" w:cs="Calibri"/>
                <w:color w:val="auto"/>
                <w:kern w:val="0"/>
                <w:szCs w:val="21"/>
                <w:highlight w:val="none"/>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本年处理决定数量</w:t>
            </w:r>
          </w:p>
        </w:tc>
      </w:tr>
      <w:tr>
        <w:tblPrEx>
          <w:tblCellMar>
            <w:top w:w="0" w:type="dxa"/>
            <w:left w:w="108" w:type="dxa"/>
            <w:bottom w:w="0" w:type="dxa"/>
            <w:right w:w="108" w:type="dxa"/>
          </w:tblCellMar>
        </w:tblPrEx>
        <w:trPr>
          <w:trHeight w:val="90"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34</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highlight w:val="none"/>
                <w:lang w:val="en-US" w:eastAsia="zh-CN"/>
              </w:rPr>
            </w:pPr>
            <w:r>
              <w:rPr>
                <w:rFonts w:hint="eastAsia" w:ascii="仿宋_GB2312" w:hAnsi="Calibri" w:eastAsia="仿宋_GB2312" w:cs="Calibri"/>
                <w:color w:val="auto"/>
                <w:kern w:val="0"/>
                <w:szCs w:val="21"/>
                <w:highlight w:val="none"/>
                <w:lang w:val="en-US" w:eastAsia="zh-CN"/>
              </w:rPr>
              <w:t>0</w:t>
            </w:r>
          </w:p>
        </w:tc>
      </w:tr>
    </w:tbl>
    <w:p>
      <w:pPr>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三、</w:t>
      </w:r>
      <w:r>
        <w:rPr>
          <w:rFonts w:ascii="黑体" w:hAnsi="黑体" w:eastAsia="黑体"/>
          <w:color w:val="auto"/>
          <w:sz w:val="32"/>
          <w:szCs w:val="32"/>
          <w:highlight w:val="none"/>
        </w:rPr>
        <w:t>收到和处理政府信息公开申请情况</w:t>
      </w:r>
    </w:p>
    <w:p>
      <w:pPr>
        <w:ind w:firstLine="640" w:firstLineChars="200"/>
        <w:rPr>
          <w:rFonts w:ascii="黑体" w:hAnsi="黑体" w:eastAsia="黑体"/>
          <w:color w:val="auto"/>
          <w:sz w:val="32"/>
          <w:szCs w:val="32"/>
          <w:highlight w:val="none"/>
        </w:rPr>
      </w:pP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6"/>
        <w:gridCol w:w="1667"/>
        <w:gridCol w:w="2883"/>
        <w:gridCol w:w="813"/>
        <w:gridCol w:w="557"/>
        <w:gridCol w:w="557"/>
        <w:gridCol w:w="715"/>
        <w:gridCol w:w="693"/>
        <w:gridCol w:w="557"/>
        <w:gridCol w:w="8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186" w:type="dxa"/>
            <w:gridSpan w:val="3"/>
            <w:vMerge w:val="restart"/>
            <w:shd w:val="clear" w:color="auto" w:fill="auto"/>
            <w:tcMar>
              <w:left w:w="108" w:type="dxa"/>
              <w:right w:w="108" w:type="dxa"/>
            </w:tcMar>
            <w:vAlign w:val="center"/>
          </w:tcPr>
          <w:p>
            <w:pPr>
              <w:widowControl/>
              <w:jc w:val="center"/>
              <w:rPr>
                <w:rFonts w:ascii="楷体_GB2312" w:hAnsi="黑体" w:eastAsia="楷体_GB2312"/>
                <w:color w:val="auto"/>
                <w:kern w:val="0"/>
                <w:szCs w:val="21"/>
                <w:highlight w:val="none"/>
              </w:rPr>
            </w:pPr>
            <w:r>
              <w:rPr>
                <w:rFonts w:hint="eastAsia" w:ascii="楷体_GB2312" w:hAnsi="黑体" w:eastAsia="楷体_GB2312"/>
                <w:color w:val="auto"/>
                <w:kern w:val="0"/>
                <w:szCs w:val="21"/>
                <w:highlight w:val="none"/>
              </w:rPr>
              <w:t>（本列数据的勾稽关系为：第一项加第二项之和，</w:t>
            </w:r>
          </w:p>
          <w:p>
            <w:pPr>
              <w:widowControl/>
              <w:jc w:val="center"/>
              <w:rPr>
                <w:rFonts w:ascii="仿宋_GB2312" w:hAnsi="Times New Roman" w:eastAsia="仿宋_GB2312"/>
                <w:color w:val="auto"/>
                <w:szCs w:val="21"/>
                <w:highlight w:val="none"/>
              </w:rPr>
            </w:pPr>
            <w:r>
              <w:rPr>
                <w:rFonts w:hint="eastAsia" w:ascii="楷体_GB2312" w:hAnsi="黑体" w:eastAsia="楷体_GB2312"/>
                <w:color w:val="auto"/>
                <w:kern w:val="0"/>
                <w:szCs w:val="21"/>
                <w:highlight w:val="none"/>
              </w:rPr>
              <w:t>等于第三项加第四项之和）</w:t>
            </w:r>
          </w:p>
        </w:tc>
        <w:tc>
          <w:tcPr>
            <w:tcW w:w="4727" w:type="dxa"/>
            <w:gridSpan w:val="7"/>
            <w:shd w:val="clear" w:color="auto" w:fill="auto"/>
            <w:tcMar>
              <w:left w:w="108" w:type="dxa"/>
              <w:right w:w="108" w:type="dxa"/>
            </w:tcMar>
            <w:vAlign w:val="center"/>
          </w:tcPr>
          <w:p>
            <w:pPr>
              <w:widowControl/>
              <w:spacing w:line="320" w:lineRule="exact"/>
              <w:jc w:val="center"/>
              <w:rPr>
                <w:rFonts w:ascii="黑体" w:hAnsi="黑体" w:eastAsia="黑体"/>
                <w:color w:val="auto"/>
                <w:szCs w:val="21"/>
                <w:highlight w:val="none"/>
              </w:rPr>
            </w:pPr>
            <w:r>
              <w:rPr>
                <w:rFonts w:hint="eastAsia" w:ascii="黑体" w:hAnsi="黑体" w:eastAsia="黑体"/>
                <w:color w:val="auto"/>
                <w:kern w:val="0"/>
                <w:szCs w:val="21"/>
                <w:highlight w:val="none"/>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186"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highlight w:val="none"/>
              </w:rPr>
            </w:pPr>
          </w:p>
        </w:tc>
        <w:tc>
          <w:tcPr>
            <w:tcW w:w="813" w:type="dxa"/>
            <w:vMerge w:val="restart"/>
            <w:shd w:val="clear" w:color="auto" w:fill="auto"/>
            <w:tcMar>
              <w:left w:w="108" w:type="dxa"/>
              <w:right w:w="108" w:type="dxa"/>
            </w:tcMar>
            <w:vAlign w:val="center"/>
          </w:tcPr>
          <w:p>
            <w:pPr>
              <w:widowControl/>
              <w:jc w:val="center"/>
              <w:rPr>
                <w:rFonts w:ascii="黑体" w:hAnsi="黑体" w:eastAsia="黑体"/>
                <w:color w:val="auto"/>
                <w:szCs w:val="21"/>
                <w:highlight w:val="none"/>
              </w:rPr>
            </w:pPr>
            <w:r>
              <w:rPr>
                <w:rFonts w:hint="eastAsia" w:ascii="黑体" w:hAnsi="黑体" w:eastAsia="黑体"/>
                <w:color w:val="auto"/>
                <w:kern w:val="0"/>
                <w:szCs w:val="21"/>
                <w:highlight w:val="none"/>
              </w:rPr>
              <w:t>自然人</w:t>
            </w:r>
          </w:p>
        </w:tc>
        <w:tc>
          <w:tcPr>
            <w:tcW w:w="3079" w:type="dxa"/>
            <w:gridSpan w:val="5"/>
            <w:shd w:val="clear" w:color="auto" w:fill="auto"/>
            <w:tcMar>
              <w:left w:w="108" w:type="dxa"/>
              <w:right w:w="108" w:type="dxa"/>
            </w:tcMar>
            <w:vAlign w:val="center"/>
          </w:tcPr>
          <w:p>
            <w:pPr>
              <w:widowControl/>
              <w:spacing w:line="320" w:lineRule="exact"/>
              <w:jc w:val="center"/>
              <w:rPr>
                <w:rFonts w:ascii="黑体" w:hAnsi="黑体" w:eastAsia="黑体"/>
                <w:color w:val="auto"/>
                <w:szCs w:val="21"/>
                <w:highlight w:val="none"/>
              </w:rPr>
            </w:pPr>
            <w:r>
              <w:rPr>
                <w:rFonts w:hint="eastAsia" w:ascii="黑体" w:hAnsi="黑体" w:eastAsia="黑体"/>
                <w:color w:val="auto"/>
                <w:kern w:val="0"/>
                <w:szCs w:val="21"/>
                <w:highlight w:val="none"/>
              </w:rPr>
              <w:t>法人或其他组织</w:t>
            </w:r>
          </w:p>
        </w:tc>
        <w:tc>
          <w:tcPr>
            <w:tcW w:w="835" w:type="dxa"/>
            <w:vMerge w:val="restart"/>
            <w:shd w:val="clear" w:color="auto" w:fill="auto"/>
            <w:tcMar>
              <w:left w:w="108" w:type="dxa"/>
              <w:right w:w="108" w:type="dxa"/>
            </w:tcMar>
            <w:vAlign w:val="center"/>
          </w:tcPr>
          <w:p>
            <w:pPr>
              <w:widowControl/>
              <w:jc w:val="center"/>
              <w:rPr>
                <w:rFonts w:ascii="黑体" w:hAnsi="黑体" w:eastAsia="黑体"/>
                <w:color w:val="auto"/>
                <w:szCs w:val="21"/>
                <w:highlight w:val="none"/>
              </w:rPr>
            </w:pPr>
            <w:r>
              <w:rPr>
                <w:rFonts w:hint="eastAsia" w:ascii="黑体" w:hAnsi="黑体" w:eastAsia="黑体"/>
                <w:color w:val="auto"/>
                <w:kern w:val="0"/>
                <w:szCs w:val="21"/>
                <w:highlight w:val="none"/>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186"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highlight w:val="none"/>
              </w:rPr>
            </w:pPr>
          </w:p>
        </w:tc>
        <w:tc>
          <w:tcPr>
            <w:tcW w:w="813" w:type="dxa"/>
            <w:vMerge w:val="continue"/>
            <w:shd w:val="clear" w:color="auto" w:fill="auto"/>
            <w:tcMar>
              <w:left w:w="108" w:type="dxa"/>
              <w:right w:w="108" w:type="dxa"/>
            </w:tcMar>
            <w:vAlign w:val="center"/>
          </w:tcPr>
          <w:p>
            <w:pPr>
              <w:jc w:val="center"/>
              <w:rPr>
                <w:rFonts w:ascii="黑体" w:hAnsi="黑体" w:eastAsia="黑体"/>
                <w:color w:val="auto"/>
                <w:szCs w:val="21"/>
                <w:highlight w:val="none"/>
              </w:rPr>
            </w:pPr>
          </w:p>
        </w:tc>
        <w:tc>
          <w:tcPr>
            <w:tcW w:w="55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highlight w:val="none"/>
              </w:rPr>
            </w:pPr>
            <w:r>
              <w:rPr>
                <w:rFonts w:hint="eastAsia" w:ascii="黑体" w:hAnsi="黑体" w:eastAsia="黑体"/>
                <w:color w:val="auto"/>
                <w:kern w:val="0"/>
                <w:szCs w:val="21"/>
                <w:highlight w:val="none"/>
              </w:rPr>
              <w:t>商业企业</w:t>
            </w:r>
          </w:p>
        </w:tc>
        <w:tc>
          <w:tcPr>
            <w:tcW w:w="55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highlight w:val="none"/>
              </w:rPr>
            </w:pPr>
            <w:r>
              <w:rPr>
                <w:rFonts w:hint="eastAsia" w:ascii="黑体" w:hAnsi="黑体" w:eastAsia="黑体"/>
                <w:color w:val="auto"/>
                <w:kern w:val="0"/>
                <w:szCs w:val="21"/>
                <w:highlight w:val="none"/>
              </w:rPr>
              <w:t>科研机构</w:t>
            </w:r>
          </w:p>
        </w:tc>
        <w:tc>
          <w:tcPr>
            <w:tcW w:w="715"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highlight w:val="none"/>
              </w:rPr>
            </w:pPr>
            <w:r>
              <w:rPr>
                <w:rFonts w:hint="eastAsia" w:ascii="黑体" w:hAnsi="黑体" w:eastAsia="黑体"/>
                <w:color w:val="auto"/>
                <w:kern w:val="0"/>
                <w:szCs w:val="21"/>
                <w:highlight w:val="none"/>
              </w:rPr>
              <w:t>社会公益组织</w:t>
            </w:r>
          </w:p>
        </w:tc>
        <w:tc>
          <w:tcPr>
            <w:tcW w:w="693"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highlight w:val="none"/>
              </w:rPr>
            </w:pPr>
            <w:r>
              <w:rPr>
                <w:rFonts w:hint="eastAsia" w:ascii="黑体" w:hAnsi="黑体" w:eastAsia="黑体"/>
                <w:color w:val="auto"/>
                <w:kern w:val="0"/>
                <w:szCs w:val="21"/>
                <w:highlight w:val="none"/>
              </w:rPr>
              <w:t>法律服务机构</w:t>
            </w:r>
          </w:p>
        </w:tc>
        <w:tc>
          <w:tcPr>
            <w:tcW w:w="55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color w:val="auto"/>
                <w:szCs w:val="21"/>
                <w:highlight w:val="none"/>
              </w:rPr>
            </w:pPr>
            <w:r>
              <w:rPr>
                <w:rFonts w:hint="eastAsia" w:ascii="黑体" w:hAnsi="黑体" w:eastAsia="黑体"/>
                <w:color w:val="auto"/>
                <w:kern w:val="0"/>
                <w:szCs w:val="21"/>
                <w:highlight w:val="none"/>
              </w:rPr>
              <w:t>其他</w:t>
            </w:r>
          </w:p>
        </w:tc>
        <w:tc>
          <w:tcPr>
            <w:tcW w:w="835" w:type="dxa"/>
            <w:vMerge w:val="continue"/>
            <w:shd w:val="clear" w:color="auto" w:fill="auto"/>
            <w:tcMar>
              <w:left w:w="108" w:type="dxa"/>
              <w:right w:w="108" w:type="dxa"/>
            </w:tcMar>
            <w:vAlign w:val="center"/>
          </w:tcPr>
          <w:p>
            <w:pPr>
              <w:jc w:val="center"/>
              <w:rPr>
                <w:rFonts w:ascii="仿宋_GB2312" w:hAnsi="Times New Roman" w:eastAsia="仿宋_GB2312"/>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86" w:type="dxa"/>
            <w:gridSpan w:val="3"/>
            <w:shd w:val="clear" w:color="auto" w:fill="auto"/>
            <w:tcMar>
              <w:left w:w="108" w:type="dxa"/>
              <w:right w:w="108" w:type="dxa"/>
            </w:tcMar>
            <w:vAlign w:val="center"/>
          </w:tcPr>
          <w:p>
            <w:pPr>
              <w:widowControl/>
              <w:rPr>
                <w:rFonts w:ascii="黑体" w:hAnsi="黑体" w:eastAsia="黑体"/>
                <w:color w:val="auto"/>
                <w:szCs w:val="21"/>
                <w:highlight w:val="none"/>
              </w:rPr>
            </w:pPr>
            <w:r>
              <w:rPr>
                <w:rFonts w:hint="eastAsia" w:ascii="黑体" w:hAnsi="黑体" w:eastAsia="黑体"/>
                <w:color w:val="auto"/>
                <w:kern w:val="0"/>
                <w:szCs w:val="21"/>
                <w:highlight w:val="none"/>
              </w:rPr>
              <w:t>一、</w:t>
            </w:r>
            <w:bookmarkStart w:id="0" w:name="_Hlk66973412"/>
            <w:r>
              <w:rPr>
                <w:rFonts w:hint="eastAsia" w:ascii="黑体" w:hAnsi="黑体" w:eastAsia="黑体"/>
                <w:color w:val="auto"/>
                <w:kern w:val="0"/>
                <w:szCs w:val="21"/>
                <w:highlight w:val="none"/>
              </w:rPr>
              <w:t>本年新收政府信息公开申请数量</w:t>
            </w:r>
            <w:bookmarkEnd w:id="0"/>
          </w:p>
        </w:tc>
        <w:tc>
          <w:tcPr>
            <w:tcW w:w="813" w:type="dxa"/>
            <w:shd w:val="clear" w:color="auto" w:fill="auto"/>
            <w:tcMar>
              <w:left w:w="108" w:type="dxa"/>
              <w:right w:w="108" w:type="dxa"/>
            </w:tcMar>
            <w:vAlign w:val="center"/>
          </w:tcPr>
          <w:p>
            <w:pPr>
              <w:widowControl/>
              <w:spacing w:after="180"/>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2</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86" w:type="dxa"/>
            <w:gridSpan w:val="3"/>
            <w:shd w:val="clear" w:color="auto" w:fill="auto"/>
            <w:tcMar>
              <w:left w:w="108" w:type="dxa"/>
              <w:right w:w="108" w:type="dxa"/>
            </w:tcMar>
            <w:vAlign w:val="center"/>
          </w:tcPr>
          <w:p>
            <w:pPr>
              <w:widowControl/>
              <w:rPr>
                <w:rFonts w:ascii="黑体" w:hAnsi="黑体" w:eastAsia="黑体"/>
                <w:color w:val="auto"/>
                <w:szCs w:val="21"/>
                <w:highlight w:val="none"/>
              </w:rPr>
            </w:pPr>
            <w:r>
              <w:rPr>
                <w:rFonts w:hint="eastAsia" w:ascii="黑体" w:hAnsi="黑体" w:eastAsia="黑体"/>
                <w:color w:val="auto"/>
                <w:kern w:val="0"/>
                <w:szCs w:val="21"/>
                <w:highlight w:val="none"/>
              </w:rPr>
              <w:t>二、上年结转政府信息公开申请数量</w:t>
            </w:r>
          </w:p>
        </w:tc>
        <w:tc>
          <w:tcPr>
            <w:tcW w:w="81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36" w:type="dxa"/>
            <w:vMerge w:val="restart"/>
            <w:shd w:val="clear" w:color="auto" w:fill="auto"/>
            <w:tcMar>
              <w:left w:w="108" w:type="dxa"/>
              <w:right w:w="108" w:type="dxa"/>
            </w:tcMar>
            <w:vAlign w:val="center"/>
          </w:tcPr>
          <w:p>
            <w:pPr>
              <w:widowControl/>
              <w:spacing w:after="180"/>
              <w:rPr>
                <w:rFonts w:ascii="黑体" w:hAnsi="黑体" w:eastAsia="黑体"/>
                <w:color w:val="auto"/>
                <w:szCs w:val="21"/>
                <w:highlight w:val="none"/>
              </w:rPr>
            </w:pPr>
            <w:r>
              <w:rPr>
                <w:rFonts w:hint="eastAsia" w:ascii="黑体" w:hAnsi="黑体" w:eastAsia="黑体"/>
                <w:color w:val="auto"/>
                <w:kern w:val="0"/>
                <w:szCs w:val="21"/>
                <w:highlight w:val="none"/>
              </w:rPr>
              <w:t>三、本年度办理结果</w:t>
            </w:r>
          </w:p>
        </w:tc>
        <w:tc>
          <w:tcPr>
            <w:tcW w:w="4550" w:type="dxa"/>
            <w:gridSpan w:val="2"/>
            <w:shd w:val="clear" w:color="auto" w:fill="auto"/>
            <w:tcMar>
              <w:left w:w="108" w:type="dxa"/>
              <w:right w:w="108" w:type="dxa"/>
            </w:tcMar>
            <w:vAlign w:val="center"/>
          </w:tcPr>
          <w:p>
            <w:pPr>
              <w:widowControl/>
              <w:rPr>
                <w:rFonts w:ascii="黑体" w:hAnsi="黑体" w:eastAsia="黑体"/>
                <w:color w:val="auto"/>
                <w:szCs w:val="21"/>
                <w:highlight w:val="none"/>
              </w:rPr>
            </w:pPr>
            <w:r>
              <w:rPr>
                <w:rFonts w:hint="eastAsia" w:ascii="黑体" w:hAnsi="黑体" w:eastAsia="黑体"/>
                <w:color w:val="auto"/>
                <w:kern w:val="0"/>
                <w:szCs w:val="21"/>
                <w:highlight w:val="none"/>
              </w:rPr>
              <w:t>（一）予以公开</w:t>
            </w:r>
          </w:p>
        </w:tc>
        <w:tc>
          <w:tcPr>
            <w:tcW w:w="81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3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4550" w:type="dxa"/>
            <w:gridSpan w:val="2"/>
            <w:shd w:val="clear" w:color="auto" w:fill="auto"/>
            <w:tcMar>
              <w:left w:w="108" w:type="dxa"/>
              <w:right w:w="108" w:type="dxa"/>
            </w:tcMar>
            <w:vAlign w:val="center"/>
          </w:tcPr>
          <w:p>
            <w:pPr>
              <w:widowControl/>
              <w:rPr>
                <w:rFonts w:ascii="黑体" w:hAnsi="黑体" w:eastAsia="黑体"/>
                <w:color w:val="auto"/>
                <w:szCs w:val="21"/>
                <w:highlight w:val="none"/>
              </w:rPr>
            </w:pPr>
            <w:r>
              <w:rPr>
                <w:rFonts w:hint="eastAsia" w:ascii="黑体" w:hAnsi="黑体" w:eastAsia="黑体"/>
                <w:color w:val="auto"/>
                <w:kern w:val="0"/>
                <w:szCs w:val="21"/>
                <w:highlight w:val="none"/>
              </w:rPr>
              <w:t>（二）部分公开（</w:t>
            </w:r>
            <w:bookmarkStart w:id="1" w:name="_Hlk66973981"/>
            <w:r>
              <w:rPr>
                <w:rFonts w:hint="eastAsia" w:ascii="黑体" w:hAnsi="黑体" w:eastAsia="黑体"/>
                <w:color w:val="auto"/>
                <w:kern w:val="0"/>
                <w:szCs w:val="21"/>
                <w:highlight w:val="none"/>
              </w:rPr>
              <w:t>区分处理的，只计这一情形，不计其他情形</w:t>
            </w:r>
            <w:bookmarkEnd w:id="1"/>
            <w:r>
              <w:rPr>
                <w:rFonts w:hint="eastAsia" w:ascii="黑体" w:hAnsi="黑体" w:eastAsia="黑体"/>
                <w:color w:val="auto"/>
                <w:kern w:val="0"/>
                <w:szCs w:val="21"/>
                <w:highlight w:val="none"/>
              </w:rPr>
              <w:t>）</w:t>
            </w:r>
          </w:p>
        </w:tc>
        <w:tc>
          <w:tcPr>
            <w:tcW w:w="813" w:type="dxa"/>
            <w:shd w:val="clear" w:color="auto" w:fill="auto"/>
            <w:tcMar>
              <w:left w:w="108" w:type="dxa"/>
              <w:right w:w="108" w:type="dxa"/>
            </w:tcMar>
            <w:vAlign w:val="center"/>
          </w:tcPr>
          <w:p>
            <w:pPr>
              <w:widowControl/>
              <w:spacing w:after="180"/>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1</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3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667"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highlight w:val="none"/>
              </w:rPr>
            </w:pPr>
            <w:r>
              <w:rPr>
                <w:rFonts w:hint="eastAsia" w:ascii="黑体" w:hAnsi="黑体" w:eastAsia="黑体"/>
                <w:color w:val="auto"/>
                <w:kern w:val="0"/>
                <w:szCs w:val="21"/>
                <w:highlight w:val="none"/>
              </w:rPr>
              <w:t>（三）不予公开</w:t>
            </w:r>
          </w:p>
        </w:tc>
        <w:tc>
          <w:tcPr>
            <w:tcW w:w="2883"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1.属于国家秘密</w:t>
            </w:r>
          </w:p>
        </w:tc>
        <w:tc>
          <w:tcPr>
            <w:tcW w:w="813"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3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667"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883"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2.</w:t>
            </w:r>
            <w:bookmarkStart w:id="2" w:name="_Hlk66974104"/>
            <w:r>
              <w:rPr>
                <w:rFonts w:hint="eastAsia" w:ascii="仿宋_GB2312" w:hAnsi="黑体" w:eastAsia="仿宋_GB2312"/>
                <w:color w:val="auto"/>
                <w:kern w:val="0"/>
                <w:szCs w:val="21"/>
                <w:highlight w:val="none"/>
              </w:rPr>
              <w:t>其他法律行政法规禁止公开</w:t>
            </w:r>
            <w:bookmarkEnd w:id="2"/>
          </w:p>
        </w:tc>
        <w:tc>
          <w:tcPr>
            <w:tcW w:w="813"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3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667"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883"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3.危及“三安全一稳定”</w:t>
            </w:r>
          </w:p>
        </w:tc>
        <w:tc>
          <w:tcPr>
            <w:tcW w:w="813"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3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667"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883"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4.</w:t>
            </w:r>
            <w:bookmarkStart w:id="3" w:name="_Hlk66974290"/>
            <w:r>
              <w:rPr>
                <w:rFonts w:hint="eastAsia" w:ascii="仿宋_GB2312" w:hAnsi="黑体" w:eastAsia="仿宋_GB2312"/>
                <w:color w:val="auto"/>
                <w:kern w:val="0"/>
                <w:szCs w:val="21"/>
                <w:highlight w:val="none"/>
              </w:rPr>
              <w:t>保护第三方合法权益</w:t>
            </w:r>
            <w:bookmarkEnd w:id="3"/>
          </w:p>
        </w:tc>
        <w:tc>
          <w:tcPr>
            <w:tcW w:w="813"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3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667"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883"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5.属于三类内部事务信息</w:t>
            </w:r>
          </w:p>
        </w:tc>
        <w:tc>
          <w:tcPr>
            <w:tcW w:w="813"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3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667"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883"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6.</w:t>
            </w:r>
            <w:bookmarkStart w:id="4" w:name="_Hlk66974555"/>
            <w:r>
              <w:rPr>
                <w:rFonts w:hint="eastAsia" w:ascii="仿宋_GB2312" w:hAnsi="黑体" w:eastAsia="仿宋_GB2312"/>
                <w:color w:val="auto"/>
                <w:kern w:val="0"/>
                <w:szCs w:val="21"/>
                <w:highlight w:val="none"/>
              </w:rPr>
              <w:t>属于四类过程性信息</w:t>
            </w:r>
            <w:bookmarkEnd w:id="4"/>
          </w:p>
        </w:tc>
        <w:tc>
          <w:tcPr>
            <w:tcW w:w="813"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3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667"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883"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7.属于行政执法案卷</w:t>
            </w:r>
          </w:p>
        </w:tc>
        <w:tc>
          <w:tcPr>
            <w:tcW w:w="813"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3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667"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883"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8.</w:t>
            </w:r>
            <w:bookmarkStart w:id="5" w:name="_Hlk66975211"/>
            <w:r>
              <w:rPr>
                <w:rFonts w:hint="eastAsia" w:ascii="仿宋_GB2312" w:hAnsi="黑体" w:eastAsia="仿宋_GB2312"/>
                <w:color w:val="auto"/>
                <w:kern w:val="0"/>
                <w:szCs w:val="21"/>
                <w:highlight w:val="none"/>
              </w:rPr>
              <w:t>属于行政查询事项</w:t>
            </w:r>
            <w:bookmarkEnd w:id="5"/>
          </w:p>
        </w:tc>
        <w:tc>
          <w:tcPr>
            <w:tcW w:w="813"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3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667"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highlight w:val="none"/>
              </w:rPr>
            </w:pPr>
            <w:r>
              <w:rPr>
                <w:rFonts w:hint="eastAsia" w:ascii="黑体" w:hAnsi="黑体" w:eastAsia="黑体"/>
                <w:color w:val="auto"/>
                <w:kern w:val="0"/>
                <w:szCs w:val="21"/>
                <w:highlight w:val="none"/>
              </w:rPr>
              <w:t>（四）无法提供</w:t>
            </w:r>
          </w:p>
        </w:tc>
        <w:tc>
          <w:tcPr>
            <w:tcW w:w="2883"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1.本机关不掌握相关政府信息</w:t>
            </w:r>
          </w:p>
        </w:tc>
        <w:tc>
          <w:tcPr>
            <w:tcW w:w="813"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1</w:t>
            </w:r>
          </w:p>
        </w:tc>
        <w:tc>
          <w:tcPr>
            <w:tcW w:w="55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3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667"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highlight w:val="none"/>
              </w:rPr>
            </w:pPr>
          </w:p>
        </w:tc>
        <w:tc>
          <w:tcPr>
            <w:tcW w:w="2883"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2.</w:t>
            </w:r>
            <w:bookmarkStart w:id="6" w:name="_Hlk66975392"/>
            <w:r>
              <w:rPr>
                <w:rFonts w:hint="eastAsia" w:ascii="仿宋_GB2312" w:hAnsi="黑体" w:eastAsia="仿宋_GB2312"/>
                <w:color w:val="auto"/>
                <w:kern w:val="0"/>
                <w:szCs w:val="21"/>
                <w:highlight w:val="none"/>
              </w:rPr>
              <w:t>没有现成信息需要另行制作</w:t>
            </w:r>
            <w:bookmarkEnd w:id="6"/>
          </w:p>
        </w:tc>
        <w:tc>
          <w:tcPr>
            <w:tcW w:w="813"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3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667"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highlight w:val="none"/>
              </w:rPr>
            </w:pPr>
          </w:p>
        </w:tc>
        <w:tc>
          <w:tcPr>
            <w:tcW w:w="2883"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3.</w:t>
            </w:r>
            <w:bookmarkStart w:id="7" w:name="_Hlk66975466"/>
            <w:r>
              <w:rPr>
                <w:rFonts w:hint="eastAsia" w:ascii="仿宋_GB2312" w:hAnsi="黑体" w:eastAsia="仿宋_GB2312"/>
                <w:color w:val="auto"/>
                <w:kern w:val="0"/>
                <w:szCs w:val="21"/>
                <w:highlight w:val="none"/>
              </w:rPr>
              <w:t>补正后申请内容仍不明确</w:t>
            </w:r>
            <w:bookmarkEnd w:id="7"/>
          </w:p>
        </w:tc>
        <w:tc>
          <w:tcPr>
            <w:tcW w:w="813"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3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667"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highlight w:val="none"/>
              </w:rPr>
            </w:pPr>
            <w:r>
              <w:rPr>
                <w:rFonts w:hint="eastAsia" w:ascii="黑体" w:hAnsi="黑体" w:eastAsia="黑体"/>
                <w:color w:val="auto"/>
                <w:kern w:val="0"/>
                <w:szCs w:val="21"/>
                <w:highlight w:val="none"/>
              </w:rPr>
              <w:t>（五）不予处理</w:t>
            </w:r>
          </w:p>
        </w:tc>
        <w:tc>
          <w:tcPr>
            <w:tcW w:w="2883"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1.</w:t>
            </w:r>
            <w:bookmarkStart w:id="8" w:name="_Hlk66975537"/>
            <w:r>
              <w:rPr>
                <w:rFonts w:hint="eastAsia" w:ascii="仿宋_GB2312" w:hAnsi="黑体" w:eastAsia="仿宋_GB2312"/>
                <w:color w:val="auto"/>
                <w:kern w:val="0"/>
                <w:szCs w:val="21"/>
                <w:highlight w:val="none"/>
              </w:rPr>
              <w:t>信访举报投诉类申请</w:t>
            </w:r>
            <w:bookmarkEnd w:id="8"/>
          </w:p>
        </w:tc>
        <w:tc>
          <w:tcPr>
            <w:tcW w:w="813"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3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667"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883"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2.重复申请</w:t>
            </w:r>
          </w:p>
        </w:tc>
        <w:tc>
          <w:tcPr>
            <w:tcW w:w="813"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3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667"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883"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highlight w:val="none"/>
              </w:rPr>
            </w:pPr>
            <w:r>
              <w:rPr>
                <w:rFonts w:hint="eastAsia" w:ascii="仿宋_GB2312" w:hAnsi="黑体" w:eastAsia="仿宋_GB2312"/>
                <w:color w:val="auto"/>
                <w:kern w:val="0"/>
                <w:szCs w:val="21"/>
                <w:highlight w:val="none"/>
              </w:rPr>
              <w:t>3.要求提供公开出版物</w:t>
            </w:r>
          </w:p>
        </w:tc>
        <w:tc>
          <w:tcPr>
            <w:tcW w:w="813"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63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667"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883"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highlight w:val="none"/>
              </w:rPr>
            </w:pPr>
            <w:r>
              <w:rPr>
                <w:rFonts w:hint="eastAsia" w:ascii="仿宋_GB2312" w:hAnsi="黑体" w:eastAsia="仿宋_GB2312"/>
                <w:color w:val="auto"/>
                <w:kern w:val="0"/>
                <w:szCs w:val="21"/>
                <w:highlight w:val="none"/>
              </w:rPr>
              <w:t>4.无正当理由大量反复申请</w:t>
            </w:r>
          </w:p>
        </w:tc>
        <w:tc>
          <w:tcPr>
            <w:tcW w:w="813"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3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667"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883" w:type="dxa"/>
            <w:shd w:val="clear" w:color="auto" w:fill="auto"/>
            <w:tcMar>
              <w:left w:w="108" w:type="dxa"/>
              <w:right w:w="108" w:type="dxa"/>
            </w:tcMar>
            <w:vAlign w:val="center"/>
          </w:tcPr>
          <w:p>
            <w:pPr>
              <w:widowControl/>
              <w:spacing w:line="3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5.要求行政机关确认或重新</w:t>
            </w:r>
          </w:p>
          <w:p>
            <w:pPr>
              <w:widowControl/>
              <w:spacing w:line="300" w:lineRule="exact"/>
              <w:ind w:firstLine="210" w:firstLineChars="100"/>
              <w:rPr>
                <w:rFonts w:ascii="仿宋_GB2312" w:hAnsi="黑体" w:eastAsia="仿宋_GB2312"/>
                <w:color w:val="auto"/>
                <w:szCs w:val="21"/>
                <w:highlight w:val="none"/>
              </w:rPr>
            </w:pPr>
            <w:r>
              <w:rPr>
                <w:rFonts w:hint="eastAsia" w:ascii="仿宋_GB2312" w:hAnsi="黑体" w:eastAsia="仿宋_GB2312"/>
                <w:color w:val="auto"/>
                <w:kern w:val="0"/>
                <w:szCs w:val="21"/>
                <w:highlight w:val="none"/>
              </w:rPr>
              <w:t>出具已获取信息</w:t>
            </w:r>
          </w:p>
        </w:tc>
        <w:tc>
          <w:tcPr>
            <w:tcW w:w="813"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3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667" w:type="dxa"/>
            <w:vMerge w:val="restart"/>
            <w:shd w:val="clear" w:color="auto" w:fill="auto"/>
            <w:tcMar>
              <w:left w:w="108" w:type="dxa"/>
              <w:right w:w="108" w:type="dxa"/>
            </w:tcMar>
            <w:vAlign w:val="center"/>
          </w:tcPr>
          <w:p>
            <w:pPr>
              <w:widowControl/>
              <w:spacing w:line="300" w:lineRule="exact"/>
              <w:rPr>
                <w:rFonts w:ascii="黑体" w:hAnsi="黑体" w:eastAsia="黑体"/>
                <w:color w:val="auto"/>
                <w:kern w:val="0"/>
                <w:szCs w:val="21"/>
                <w:highlight w:val="none"/>
              </w:rPr>
            </w:pPr>
            <w:r>
              <w:rPr>
                <w:rFonts w:hint="eastAsia" w:ascii="黑体" w:hAnsi="黑体" w:eastAsia="黑体"/>
                <w:color w:val="auto"/>
                <w:kern w:val="0"/>
                <w:szCs w:val="21"/>
                <w:highlight w:val="none"/>
              </w:rPr>
              <w:t>（六）其他处理</w:t>
            </w:r>
          </w:p>
        </w:tc>
        <w:tc>
          <w:tcPr>
            <w:tcW w:w="2883" w:type="dxa"/>
            <w:shd w:val="clear" w:color="auto" w:fill="auto"/>
            <w:vAlign w:val="center"/>
          </w:tcPr>
          <w:p>
            <w:pPr>
              <w:widowControl/>
              <w:spacing w:line="300" w:lineRule="exact"/>
              <w:rPr>
                <w:rFonts w:ascii="仿宋_GB2312" w:hAnsi="楷体" w:eastAsia="仿宋_GB2312"/>
                <w:color w:val="auto"/>
                <w:highlight w:val="none"/>
              </w:rPr>
            </w:pPr>
            <w:r>
              <w:rPr>
                <w:rFonts w:hint="eastAsia" w:ascii="仿宋_GB2312" w:hAnsi="楷体" w:eastAsia="仿宋_GB2312"/>
                <w:color w:val="auto"/>
                <w:highlight w:val="none"/>
              </w:rPr>
              <w:t>1.申请人无正当理由逾期不补正、行政机关不再处理其政府信息公开申请</w:t>
            </w:r>
          </w:p>
        </w:tc>
        <w:tc>
          <w:tcPr>
            <w:tcW w:w="813"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3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667"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highlight w:val="none"/>
              </w:rPr>
            </w:pPr>
          </w:p>
        </w:tc>
        <w:tc>
          <w:tcPr>
            <w:tcW w:w="2883" w:type="dxa"/>
            <w:shd w:val="clear" w:color="auto" w:fill="auto"/>
            <w:vAlign w:val="center"/>
          </w:tcPr>
          <w:p>
            <w:pPr>
              <w:widowControl/>
              <w:spacing w:line="300" w:lineRule="exact"/>
              <w:rPr>
                <w:rFonts w:ascii="仿宋_GB2312" w:hAnsi="黑体" w:eastAsia="仿宋_GB2312"/>
                <w:color w:val="auto"/>
                <w:kern w:val="0"/>
                <w:szCs w:val="21"/>
                <w:highlight w:val="none"/>
              </w:rPr>
            </w:pPr>
            <w:r>
              <w:rPr>
                <w:rFonts w:hint="eastAsia" w:ascii="仿宋_GB2312" w:hAnsi="楷体" w:eastAsia="仿宋_GB2312"/>
                <w:color w:val="auto"/>
                <w:highlight w:val="none"/>
              </w:rPr>
              <w:t>2.申请人逾期未按收费通知要求缴纳费用、行政机关不再处理其政府信息公开申请</w:t>
            </w:r>
          </w:p>
        </w:tc>
        <w:tc>
          <w:tcPr>
            <w:tcW w:w="813"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3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667"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highlight w:val="none"/>
              </w:rPr>
            </w:pPr>
          </w:p>
        </w:tc>
        <w:tc>
          <w:tcPr>
            <w:tcW w:w="2883" w:type="dxa"/>
            <w:shd w:val="clear" w:color="auto" w:fill="auto"/>
            <w:vAlign w:val="center"/>
          </w:tcPr>
          <w:p>
            <w:pPr>
              <w:widowControl/>
              <w:spacing w:line="300" w:lineRule="exact"/>
              <w:rPr>
                <w:rFonts w:ascii="仿宋_GB2312" w:hAnsi="黑体" w:eastAsia="仿宋_GB2312"/>
                <w:color w:val="auto"/>
                <w:kern w:val="0"/>
                <w:szCs w:val="21"/>
                <w:highlight w:val="none"/>
              </w:rPr>
            </w:pPr>
            <w:r>
              <w:rPr>
                <w:rFonts w:hint="eastAsia" w:ascii="仿宋_GB2312" w:hAnsi="楷体" w:eastAsia="仿宋_GB2312"/>
                <w:color w:val="auto"/>
                <w:highlight w:val="none"/>
              </w:rPr>
              <w:t>3.其他</w:t>
            </w:r>
          </w:p>
        </w:tc>
        <w:tc>
          <w:tcPr>
            <w:tcW w:w="813"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3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4550" w:type="dxa"/>
            <w:gridSpan w:val="2"/>
            <w:shd w:val="clear" w:color="auto" w:fill="auto"/>
            <w:tcMar>
              <w:left w:w="108" w:type="dxa"/>
              <w:right w:w="108" w:type="dxa"/>
            </w:tcMar>
            <w:vAlign w:val="center"/>
          </w:tcPr>
          <w:p>
            <w:pPr>
              <w:widowControl/>
              <w:spacing w:line="300" w:lineRule="exact"/>
              <w:rPr>
                <w:rFonts w:ascii="黑体" w:hAnsi="黑体" w:eastAsia="黑体"/>
                <w:color w:val="auto"/>
                <w:kern w:val="0"/>
                <w:szCs w:val="21"/>
                <w:highlight w:val="none"/>
              </w:rPr>
            </w:pPr>
            <w:r>
              <w:rPr>
                <w:rFonts w:hint="eastAsia" w:ascii="黑体" w:hAnsi="黑体" w:eastAsia="黑体"/>
                <w:color w:val="auto"/>
                <w:kern w:val="0"/>
                <w:szCs w:val="21"/>
                <w:highlight w:val="none"/>
              </w:rPr>
              <w:t>（七）总计</w:t>
            </w:r>
          </w:p>
        </w:tc>
        <w:tc>
          <w:tcPr>
            <w:tcW w:w="813"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2</w:t>
            </w:r>
          </w:p>
        </w:tc>
        <w:tc>
          <w:tcPr>
            <w:tcW w:w="55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2</w:t>
            </w:r>
            <w:bookmarkStart w:id="10" w:name="_GoBack"/>
            <w:bookmarkEnd w:id="1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86" w:type="dxa"/>
            <w:gridSpan w:val="3"/>
            <w:shd w:val="clear" w:color="auto" w:fill="auto"/>
            <w:tcMar>
              <w:left w:w="108" w:type="dxa"/>
              <w:right w:w="108" w:type="dxa"/>
            </w:tcMar>
            <w:vAlign w:val="center"/>
          </w:tcPr>
          <w:p>
            <w:pPr>
              <w:widowControl/>
              <w:spacing w:line="300" w:lineRule="exact"/>
              <w:rPr>
                <w:rFonts w:ascii="黑体" w:hAnsi="黑体" w:eastAsia="黑体"/>
                <w:color w:val="auto"/>
                <w:kern w:val="0"/>
                <w:szCs w:val="21"/>
                <w:highlight w:val="none"/>
              </w:rPr>
            </w:pPr>
            <w:r>
              <w:rPr>
                <w:rFonts w:hint="eastAsia" w:ascii="黑体" w:hAnsi="黑体" w:eastAsia="黑体"/>
                <w:color w:val="auto"/>
                <w:kern w:val="0"/>
                <w:szCs w:val="21"/>
                <w:highlight w:val="none"/>
              </w:rPr>
              <w:t>四、结转下年度继续办理</w:t>
            </w:r>
          </w:p>
        </w:tc>
        <w:tc>
          <w:tcPr>
            <w:tcW w:w="813"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93" w:type="dxa"/>
            <w:shd w:val="clear" w:color="auto" w:fill="auto"/>
            <w:tcMar>
              <w:left w:w="108" w:type="dxa"/>
              <w:right w:w="108" w:type="dxa"/>
            </w:tcMar>
            <w:vAlign w:val="center"/>
          </w:tcPr>
          <w:p>
            <w:pPr>
              <w:widowControl/>
              <w:spacing w:after="180"/>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5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35"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bl>
    <w:p>
      <w:pPr>
        <w:pStyle w:val="5"/>
        <w:spacing w:before="0" w:beforeAutospacing="0" w:after="0" w:afterAutospacing="0" w:line="600" w:lineRule="exact"/>
        <w:ind w:firstLine="640" w:firstLineChars="200"/>
        <w:jc w:val="both"/>
        <w:rPr>
          <w:rFonts w:ascii="黑体" w:hAnsi="黑体" w:eastAsia="黑体"/>
          <w:color w:val="auto"/>
          <w:sz w:val="32"/>
          <w:szCs w:val="32"/>
          <w:highlight w:val="none"/>
        </w:rPr>
      </w:pPr>
      <w:r>
        <w:rPr>
          <w:rFonts w:ascii="黑体" w:hAnsi="黑体" w:eastAsia="黑体"/>
          <w:color w:val="auto"/>
          <w:sz w:val="32"/>
          <w:szCs w:val="32"/>
          <w:highlight w:val="none"/>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highlight w:val="none"/>
              </w:rPr>
            </w:pPr>
            <w:r>
              <w:rPr>
                <w:rFonts w:ascii="黑体" w:hAnsi="黑体" w:eastAsia="黑体"/>
                <w:color w:val="auto"/>
                <w:kern w:val="0"/>
                <w:sz w:val="20"/>
                <w:szCs w:val="20"/>
                <w:highlight w:val="none"/>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highlight w:val="none"/>
              </w:rPr>
            </w:pPr>
            <w:r>
              <w:rPr>
                <w:rFonts w:ascii="黑体" w:hAnsi="黑体" w:eastAsia="黑体"/>
                <w:color w:val="auto"/>
                <w:kern w:val="0"/>
                <w:sz w:val="20"/>
                <w:szCs w:val="20"/>
                <w:highlight w:val="none"/>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color w:val="auto"/>
                <w:kern w:val="0"/>
                <w:sz w:val="20"/>
                <w:szCs w:val="20"/>
                <w:highlight w:val="none"/>
              </w:rPr>
            </w:pPr>
            <w:r>
              <w:rPr>
                <w:rFonts w:ascii="黑体" w:hAnsi="黑体" w:eastAsia="黑体"/>
                <w:color w:val="auto"/>
                <w:kern w:val="0"/>
                <w:sz w:val="20"/>
                <w:szCs w:val="20"/>
                <w:highlight w:val="none"/>
              </w:rPr>
              <w:t>结果</w:t>
            </w:r>
          </w:p>
          <w:p>
            <w:pPr>
              <w:widowControl/>
              <w:ind w:left="-149" w:leftChars="-71" w:right="-170" w:rightChars="-81"/>
              <w:jc w:val="center"/>
              <w:rPr>
                <w:rFonts w:ascii="黑体" w:hAnsi="黑体" w:eastAsia="黑体"/>
                <w:color w:val="auto"/>
                <w:highlight w:val="none"/>
              </w:rPr>
            </w:pPr>
            <w:r>
              <w:rPr>
                <w:rFonts w:ascii="黑体" w:hAnsi="黑体" w:eastAsia="黑体"/>
                <w:color w:val="auto"/>
                <w:kern w:val="0"/>
                <w:sz w:val="20"/>
                <w:szCs w:val="20"/>
                <w:highlight w:val="none"/>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color w:val="auto"/>
                <w:highlight w:val="none"/>
              </w:rPr>
            </w:pPr>
            <w:r>
              <w:rPr>
                <w:rFonts w:ascii="黑体" w:hAnsi="黑体" w:eastAsia="黑体"/>
                <w:color w:val="auto"/>
                <w:kern w:val="0"/>
                <w:sz w:val="20"/>
                <w:szCs w:val="20"/>
                <w:highlight w:val="none"/>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color w:val="auto"/>
                <w:highlight w:val="none"/>
              </w:rPr>
            </w:pPr>
            <w:r>
              <w:rPr>
                <w:rFonts w:ascii="黑体" w:hAnsi="黑体" w:eastAsia="黑体"/>
                <w:color w:val="auto"/>
                <w:kern w:val="0"/>
                <w:sz w:val="20"/>
                <w:szCs w:val="20"/>
                <w:highlight w:val="none"/>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color w:val="auto"/>
                <w:kern w:val="0"/>
                <w:sz w:val="20"/>
                <w:szCs w:val="20"/>
                <w:highlight w:val="none"/>
              </w:rPr>
            </w:pPr>
            <w:r>
              <w:rPr>
                <w:rFonts w:ascii="黑体" w:hAnsi="黑体" w:eastAsia="黑体"/>
                <w:color w:val="auto"/>
                <w:kern w:val="0"/>
                <w:sz w:val="20"/>
                <w:szCs w:val="20"/>
                <w:highlight w:val="none"/>
              </w:rPr>
              <w:t>尚未</w:t>
            </w:r>
          </w:p>
          <w:p>
            <w:pPr>
              <w:widowControl/>
              <w:ind w:left="-118" w:leftChars="-56" w:right="-118" w:rightChars="-56"/>
              <w:jc w:val="center"/>
              <w:rPr>
                <w:rFonts w:ascii="黑体" w:hAnsi="黑体" w:eastAsia="黑体"/>
                <w:color w:val="auto"/>
                <w:highlight w:val="none"/>
              </w:rPr>
            </w:pPr>
            <w:r>
              <w:rPr>
                <w:rFonts w:ascii="黑体" w:hAnsi="黑体" w:eastAsia="黑体"/>
                <w:color w:val="auto"/>
                <w:kern w:val="0"/>
                <w:sz w:val="20"/>
                <w:szCs w:val="20"/>
                <w:highlight w:val="none"/>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color w:val="auto"/>
                <w:kern w:val="0"/>
                <w:sz w:val="20"/>
                <w:szCs w:val="20"/>
                <w:highlight w:val="none"/>
              </w:rPr>
            </w:pPr>
            <w:r>
              <w:rPr>
                <w:rFonts w:ascii="黑体" w:hAnsi="黑体" w:eastAsia="黑体"/>
                <w:color w:val="auto"/>
                <w:kern w:val="0"/>
                <w:sz w:val="20"/>
                <w:szCs w:val="20"/>
                <w:highlight w:val="none"/>
              </w:rPr>
              <w:t>总</w:t>
            </w:r>
          </w:p>
          <w:p>
            <w:pPr>
              <w:widowControl/>
              <w:spacing w:line="320" w:lineRule="exact"/>
              <w:jc w:val="center"/>
              <w:rPr>
                <w:rFonts w:ascii="黑体" w:hAnsi="黑体" w:eastAsia="黑体"/>
                <w:color w:val="auto"/>
                <w:highlight w:val="none"/>
              </w:rPr>
            </w:pPr>
            <w:r>
              <w:rPr>
                <w:rFonts w:ascii="黑体" w:hAnsi="黑体" w:eastAsia="黑体"/>
                <w:color w:val="auto"/>
                <w:kern w:val="0"/>
                <w:sz w:val="20"/>
                <w:szCs w:val="20"/>
                <w:highlight w:val="none"/>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highlight w:val="none"/>
              </w:rPr>
            </w:pPr>
            <w:r>
              <w:rPr>
                <w:rFonts w:ascii="黑体" w:hAnsi="黑体" w:eastAsia="黑体"/>
                <w:color w:val="auto"/>
                <w:kern w:val="0"/>
                <w:sz w:val="20"/>
                <w:szCs w:val="20"/>
                <w:highlight w:val="none"/>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highlight w:val="none"/>
              </w:rPr>
            </w:pPr>
            <w:bookmarkStart w:id="9" w:name="_Hlk67039688"/>
            <w:r>
              <w:rPr>
                <w:rFonts w:ascii="黑体" w:hAnsi="黑体" w:eastAsia="黑体"/>
                <w:color w:val="auto"/>
                <w:kern w:val="0"/>
                <w:sz w:val="20"/>
                <w:szCs w:val="20"/>
                <w:highlight w:val="none"/>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highlight w:val="none"/>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highlight w:val="none"/>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highlight w:val="none"/>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highlight w:val="none"/>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highlight w:val="none"/>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color w:val="auto"/>
                <w:highlight w:val="none"/>
              </w:rPr>
            </w:pPr>
            <w:r>
              <w:rPr>
                <w:rFonts w:ascii="黑体" w:hAnsi="黑体" w:eastAsia="黑体"/>
                <w:color w:val="auto"/>
                <w:kern w:val="0"/>
                <w:sz w:val="20"/>
                <w:szCs w:val="20"/>
                <w:highlight w:val="none"/>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color w:val="auto"/>
                <w:highlight w:val="none"/>
              </w:rPr>
            </w:pPr>
            <w:r>
              <w:rPr>
                <w:rFonts w:ascii="黑体" w:hAnsi="黑体" w:eastAsia="黑体"/>
                <w:color w:val="auto"/>
                <w:kern w:val="0"/>
                <w:sz w:val="20"/>
                <w:szCs w:val="20"/>
                <w:highlight w:val="none"/>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color w:val="auto"/>
                <w:kern w:val="0"/>
                <w:sz w:val="20"/>
                <w:szCs w:val="20"/>
                <w:highlight w:val="none"/>
              </w:rPr>
            </w:pPr>
            <w:r>
              <w:rPr>
                <w:rFonts w:ascii="黑体" w:hAnsi="黑体" w:eastAsia="黑体"/>
                <w:color w:val="auto"/>
                <w:kern w:val="0"/>
                <w:sz w:val="20"/>
                <w:szCs w:val="20"/>
                <w:highlight w:val="none"/>
              </w:rPr>
              <w:t>其他</w:t>
            </w:r>
          </w:p>
          <w:p>
            <w:pPr>
              <w:widowControl/>
              <w:ind w:left="-126" w:leftChars="-60" w:right="-136" w:rightChars="-65"/>
              <w:jc w:val="center"/>
              <w:rPr>
                <w:rFonts w:ascii="黑体" w:hAnsi="黑体" w:eastAsia="黑体"/>
                <w:color w:val="auto"/>
                <w:highlight w:val="none"/>
              </w:rPr>
            </w:pPr>
            <w:r>
              <w:rPr>
                <w:rFonts w:ascii="黑体" w:hAnsi="黑体" w:eastAsia="黑体"/>
                <w:color w:val="auto"/>
                <w:kern w:val="0"/>
                <w:sz w:val="20"/>
                <w:szCs w:val="20"/>
                <w:highlight w:val="none"/>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color w:val="auto"/>
                <w:kern w:val="0"/>
                <w:sz w:val="20"/>
                <w:szCs w:val="20"/>
                <w:highlight w:val="none"/>
              </w:rPr>
            </w:pPr>
            <w:r>
              <w:rPr>
                <w:rFonts w:ascii="黑体" w:hAnsi="黑体" w:eastAsia="黑体"/>
                <w:color w:val="auto"/>
                <w:kern w:val="0"/>
                <w:sz w:val="20"/>
                <w:szCs w:val="20"/>
                <w:highlight w:val="none"/>
              </w:rPr>
              <w:t>尚未</w:t>
            </w:r>
          </w:p>
          <w:p>
            <w:pPr>
              <w:widowControl/>
              <w:ind w:left="-164" w:leftChars="-78" w:right="-153" w:rightChars="-73"/>
              <w:jc w:val="center"/>
              <w:rPr>
                <w:rFonts w:ascii="黑体" w:hAnsi="黑体" w:eastAsia="黑体"/>
                <w:color w:val="auto"/>
                <w:highlight w:val="none"/>
              </w:rPr>
            </w:pPr>
            <w:r>
              <w:rPr>
                <w:rFonts w:ascii="黑体" w:hAnsi="黑体" w:eastAsia="黑体"/>
                <w:color w:val="auto"/>
                <w:kern w:val="0"/>
                <w:sz w:val="20"/>
                <w:szCs w:val="20"/>
                <w:highlight w:val="none"/>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highlight w:val="none"/>
              </w:rPr>
            </w:pPr>
            <w:r>
              <w:rPr>
                <w:rFonts w:ascii="黑体" w:hAnsi="黑体" w:eastAsia="黑体"/>
                <w:color w:val="auto"/>
                <w:kern w:val="0"/>
                <w:sz w:val="20"/>
                <w:szCs w:val="20"/>
                <w:highlight w:val="none"/>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color w:val="auto"/>
                <w:highlight w:val="none"/>
              </w:rPr>
            </w:pPr>
            <w:r>
              <w:rPr>
                <w:rFonts w:ascii="黑体" w:hAnsi="黑体" w:eastAsia="黑体"/>
                <w:color w:val="auto"/>
                <w:kern w:val="0"/>
                <w:sz w:val="20"/>
                <w:szCs w:val="20"/>
                <w:highlight w:val="none"/>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color w:val="auto"/>
                <w:kern w:val="0"/>
                <w:sz w:val="20"/>
                <w:szCs w:val="20"/>
                <w:highlight w:val="none"/>
              </w:rPr>
            </w:pPr>
            <w:r>
              <w:rPr>
                <w:rFonts w:ascii="黑体" w:hAnsi="黑体" w:eastAsia="黑体"/>
                <w:color w:val="auto"/>
                <w:kern w:val="0"/>
                <w:sz w:val="20"/>
                <w:szCs w:val="20"/>
                <w:highlight w:val="none"/>
              </w:rPr>
              <w:t>结果</w:t>
            </w:r>
          </w:p>
          <w:p>
            <w:pPr>
              <w:widowControl/>
              <w:ind w:left="-136" w:leftChars="-65" w:right="-124" w:rightChars="-59"/>
              <w:jc w:val="center"/>
              <w:rPr>
                <w:rFonts w:ascii="黑体" w:hAnsi="黑体" w:eastAsia="黑体"/>
                <w:color w:val="auto"/>
                <w:highlight w:val="none"/>
              </w:rPr>
            </w:pPr>
            <w:r>
              <w:rPr>
                <w:rFonts w:ascii="黑体" w:hAnsi="黑体" w:eastAsia="黑体"/>
                <w:color w:val="auto"/>
                <w:kern w:val="0"/>
                <w:sz w:val="20"/>
                <w:szCs w:val="20"/>
                <w:highlight w:val="none"/>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color w:val="auto"/>
                <w:kern w:val="0"/>
                <w:sz w:val="20"/>
                <w:szCs w:val="20"/>
                <w:highlight w:val="none"/>
              </w:rPr>
            </w:pPr>
            <w:r>
              <w:rPr>
                <w:rFonts w:ascii="黑体" w:hAnsi="黑体" w:eastAsia="黑体"/>
                <w:color w:val="auto"/>
                <w:kern w:val="0"/>
                <w:sz w:val="20"/>
                <w:szCs w:val="20"/>
                <w:highlight w:val="none"/>
              </w:rPr>
              <w:t>其他</w:t>
            </w:r>
          </w:p>
          <w:p>
            <w:pPr>
              <w:widowControl/>
              <w:ind w:left="-173" w:leftChars="-83" w:right="-134" w:rightChars="-64" w:hanging="1"/>
              <w:jc w:val="center"/>
              <w:rPr>
                <w:rFonts w:ascii="黑体" w:hAnsi="黑体" w:eastAsia="黑体"/>
                <w:color w:val="auto"/>
                <w:highlight w:val="none"/>
              </w:rPr>
            </w:pPr>
            <w:r>
              <w:rPr>
                <w:rFonts w:ascii="黑体" w:hAnsi="黑体" w:eastAsia="黑体"/>
                <w:color w:val="auto"/>
                <w:kern w:val="0"/>
                <w:sz w:val="20"/>
                <w:szCs w:val="20"/>
                <w:highlight w:val="none"/>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color w:val="auto"/>
                <w:highlight w:val="none"/>
              </w:rPr>
            </w:pPr>
            <w:r>
              <w:rPr>
                <w:rFonts w:ascii="黑体" w:hAnsi="黑体" w:eastAsia="黑体"/>
                <w:color w:val="auto"/>
                <w:kern w:val="0"/>
                <w:sz w:val="20"/>
                <w:szCs w:val="20"/>
                <w:highlight w:val="none"/>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highlight w:val="none"/>
              </w:rPr>
            </w:pPr>
            <w:r>
              <w:rPr>
                <w:rFonts w:ascii="黑体" w:hAnsi="黑体" w:eastAsia="黑体"/>
                <w:color w:val="auto"/>
                <w:kern w:val="0"/>
                <w:sz w:val="20"/>
                <w:szCs w:val="20"/>
                <w:highlight w:val="none"/>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highlight w:val="none"/>
                <w:lang w:val="en-US" w:eastAsia="zh-CN"/>
              </w:rPr>
            </w:pPr>
            <w:r>
              <w:rPr>
                <w:rFonts w:hint="eastAsia" w:ascii="Times New Roman" w:hAnsi="Times New Roman"/>
                <w:color w:val="auto"/>
                <w:highlight w:val="none"/>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highlight w:val="none"/>
                <w:lang w:val="en-US" w:eastAsia="zh-CN"/>
              </w:rPr>
            </w:pPr>
            <w:r>
              <w:rPr>
                <w:rFonts w:hint="eastAsia" w:ascii="Times New Roman" w:hAnsi="Times New Roman"/>
                <w:color w:val="auto"/>
                <w:highlight w:val="none"/>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highlight w:val="none"/>
                <w:lang w:val="en-US" w:eastAsia="zh-CN"/>
              </w:rPr>
            </w:pPr>
            <w:r>
              <w:rPr>
                <w:rFonts w:hint="eastAsia" w:ascii="Times New Roman" w:hAnsi="Times New Roman"/>
                <w:color w:val="auto"/>
                <w:highlight w:val="none"/>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highlight w:val="none"/>
                <w:lang w:val="en-US" w:eastAsia="zh-CN"/>
              </w:rPr>
            </w:pPr>
            <w:r>
              <w:rPr>
                <w:rFonts w:hint="eastAsia" w:ascii="Times New Roman" w:hAnsi="Times New Roman"/>
                <w:color w:val="auto"/>
                <w:highlight w:val="none"/>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highlight w:val="none"/>
                <w:lang w:val="en-US" w:eastAsia="zh-CN"/>
              </w:rPr>
            </w:pPr>
            <w:r>
              <w:rPr>
                <w:rFonts w:hint="eastAsia" w:ascii="Times New Roman" w:hAnsi="Times New Roman"/>
                <w:color w:val="auto"/>
                <w:highlight w:val="none"/>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highlight w:val="none"/>
                <w:lang w:val="en-US" w:eastAsia="zh-CN"/>
              </w:rPr>
            </w:pPr>
            <w:r>
              <w:rPr>
                <w:rFonts w:hint="eastAsia" w:ascii="Times New Roman" w:hAnsi="Times New Roman"/>
                <w:color w:val="auto"/>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highlight w:val="none"/>
                <w:lang w:val="en-US" w:eastAsia="zh-CN"/>
              </w:rPr>
            </w:pPr>
            <w:r>
              <w:rPr>
                <w:rFonts w:hint="eastAsia" w:ascii="Times New Roman" w:hAnsi="Times New Roman"/>
                <w:color w:val="auto"/>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highlight w:val="none"/>
                <w:lang w:val="en-US" w:eastAsia="zh-CN"/>
              </w:rPr>
            </w:pPr>
            <w:r>
              <w:rPr>
                <w:rFonts w:hint="eastAsia" w:ascii="Times New Roman" w:hAnsi="Times New Roman"/>
                <w:color w:val="auto"/>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highlight w:val="none"/>
                <w:lang w:val="en-US" w:eastAsia="zh-CN"/>
              </w:rPr>
            </w:pPr>
            <w:r>
              <w:rPr>
                <w:rFonts w:hint="eastAsia" w:ascii="Times New Roman" w:hAnsi="Times New Roman"/>
                <w:color w:val="auto"/>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highlight w:val="none"/>
                <w:lang w:val="en-US" w:eastAsia="zh-CN"/>
              </w:rPr>
            </w:pPr>
            <w:r>
              <w:rPr>
                <w:rFonts w:hint="eastAsia" w:ascii="Times New Roman" w:hAnsi="Times New Roman"/>
                <w:color w:val="auto"/>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highlight w:val="none"/>
                <w:lang w:val="en-US" w:eastAsia="zh-CN"/>
              </w:rPr>
            </w:pPr>
            <w:r>
              <w:rPr>
                <w:rFonts w:hint="eastAsia" w:ascii="Times New Roman" w:hAnsi="Times New Roman"/>
                <w:color w:val="auto"/>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highlight w:val="none"/>
                <w:lang w:val="en-US" w:eastAsia="zh-CN"/>
              </w:rPr>
            </w:pPr>
            <w:r>
              <w:rPr>
                <w:rFonts w:hint="eastAsia" w:ascii="Times New Roman" w:hAnsi="Times New Roman"/>
                <w:color w:val="auto"/>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highlight w:val="none"/>
                <w:lang w:val="en-US" w:eastAsia="zh-CN"/>
              </w:rPr>
            </w:pPr>
            <w:r>
              <w:rPr>
                <w:rFonts w:hint="eastAsia" w:ascii="Times New Roman" w:hAnsi="Times New Roman"/>
                <w:color w:val="auto"/>
                <w:highlight w:val="none"/>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highlight w:val="none"/>
                <w:lang w:val="en-US" w:eastAsia="zh-CN"/>
              </w:rPr>
            </w:pPr>
            <w:r>
              <w:rPr>
                <w:rFonts w:hint="eastAsia" w:ascii="Times New Roman" w:hAnsi="Times New Roman"/>
                <w:color w:val="auto"/>
                <w:highlight w:val="none"/>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highlight w:val="none"/>
                <w:lang w:val="en-US" w:eastAsia="zh-CN"/>
              </w:rPr>
            </w:pPr>
            <w:r>
              <w:rPr>
                <w:rFonts w:hint="eastAsia" w:ascii="Times New Roman" w:hAnsi="Times New Roman"/>
                <w:color w:val="auto"/>
                <w:highlight w:val="none"/>
                <w:lang w:val="en-US" w:eastAsia="zh-CN"/>
              </w:rPr>
              <w:t>0</w:t>
            </w:r>
          </w:p>
        </w:tc>
      </w:tr>
    </w:tbl>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五、</w:t>
      </w:r>
      <w:r>
        <w:rPr>
          <w:rFonts w:ascii="黑体" w:hAnsi="黑体" w:eastAsia="黑体"/>
          <w:color w:val="auto"/>
          <w:sz w:val="32"/>
          <w:szCs w:val="32"/>
          <w:highlight w:val="none"/>
        </w:rPr>
        <w:t>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（一）存在的主要问题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Calibri" w:eastAsia="仿宋_GB2312" w:cs="Times New Roman"/>
          <w:color w:val="auto"/>
          <w:kern w:val="0"/>
          <w:sz w:val="32"/>
          <w:szCs w:val="32"/>
          <w:highlight w:val="none"/>
          <w:lang w:val="en-US" w:eastAsia="zh-CN" w:bidi="ar-SA"/>
        </w:rPr>
      </w:pPr>
      <w:r>
        <w:rPr>
          <w:rFonts w:hint="eastAsia" w:ascii="仿宋_GB2312" w:hAnsi="Calibri" w:eastAsia="仿宋_GB2312" w:cs="Times New Roman"/>
          <w:color w:val="auto"/>
          <w:kern w:val="0"/>
          <w:sz w:val="32"/>
          <w:szCs w:val="32"/>
          <w:highlight w:val="none"/>
          <w:lang w:val="en-US" w:eastAsia="zh-CN" w:bidi="ar-SA"/>
        </w:rPr>
        <w:t>一是公开内容与公众需求存在差距，部分信息公开不够具体。二是缺乏专业人才支撑，政府信息公开工作需要一定的 专业知识和技术能力，但现实中从事这项工作的人员没有接受过系统的培训。三是信息更新的时效性有待进一步提高。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Calibri" w:eastAsia="仿宋_GB2312" w:cs="Times New Roman"/>
          <w:color w:val="auto"/>
          <w:kern w:val="0"/>
          <w:sz w:val="32"/>
          <w:szCs w:val="32"/>
          <w:highlight w:val="none"/>
          <w:lang w:val="en-US" w:eastAsia="zh-CN" w:bidi="ar-SA"/>
        </w:rPr>
      </w:pPr>
      <w:r>
        <w:rPr>
          <w:rFonts w:hint="eastAsia" w:ascii="仿宋_GB2312" w:hAnsi="Calibri" w:eastAsia="仿宋_GB2312" w:cs="Times New Roman"/>
          <w:color w:val="auto"/>
          <w:kern w:val="0"/>
          <w:sz w:val="32"/>
          <w:szCs w:val="32"/>
          <w:highlight w:val="none"/>
          <w:lang w:val="en" w:eastAsia="zh-CN" w:bidi="ar-SA"/>
        </w:rPr>
        <w:t>一</w:t>
      </w:r>
      <w:r>
        <w:rPr>
          <w:rFonts w:hint="default" w:ascii="仿宋_GB2312" w:hAnsi="Calibri" w:eastAsia="仿宋_GB2312" w:cs="Times New Roman"/>
          <w:color w:val="auto"/>
          <w:kern w:val="0"/>
          <w:sz w:val="32"/>
          <w:szCs w:val="32"/>
          <w:highlight w:val="none"/>
          <w:lang w:val="en-US" w:eastAsia="zh-CN" w:bidi="ar-SA"/>
        </w:rPr>
        <w:t>是坚持需求导向、问题导向。及时公开涉及人民群众关心的重大问题、重大决策，不断丰富主动公开政府信息的内容，同时进一步提高公众参与度、满意度。</w:t>
      </w:r>
      <w:r>
        <w:rPr>
          <w:rFonts w:hint="default" w:ascii="仿宋_GB2312" w:hAnsi="Calibri" w:eastAsia="仿宋_GB2312" w:cs="Times New Roman"/>
          <w:color w:val="auto"/>
          <w:kern w:val="0"/>
          <w:sz w:val="32"/>
          <w:szCs w:val="32"/>
          <w:highlight w:val="none"/>
          <w:lang w:val="en" w:eastAsia="zh-CN" w:bidi="ar-SA"/>
        </w:rPr>
        <w:t>二是</w:t>
      </w:r>
      <w:r>
        <w:rPr>
          <w:rFonts w:hint="default" w:ascii="仿宋_GB2312" w:hAnsi="Calibri" w:eastAsia="仿宋_GB2312" w:cs="Times New Roman"/>
          <w:color w:val="auto"/>
          <w:kern w:val="0"/>
          <w:sz w:val="32"/>
          <w:szCs w:val="32"/>
          <w:highlight w:val="none"/>
          <w:lang w:val="en-US" w:eastAsia="zh-CN" w:bidi="ar-SA"/>
        </w:rPr>
        <w:t>加强队伍建设，筑牢公开基础</w:t>
      </w:r>
      <w:r>
        <w:rPr>
          <w:rFonts w:hint="eastAsia" w:ascii="仿宋_GB2312" w:hAnsi="Calibri" w:eastAsia="仿宋_GB2312" w:cs="Times New Roman"/>
          <w:color w:val="auto"/>
          <w:kern w:val="0"/>
          <w:sz w:val="32"/>
          <w:szCs w:val="32"/>
          <w:highlight w:val="none"/>
          <w:lang w:val="en-US" w:eastAsia="zh-CN" w:bidi="ar-SA"/>
        </w:rPr>
        <w:t>。</w:t>
      </w:r>
      <w:r>
        <w:rPr>
          <w:rFonts w:hint="default" w:ascii="仿宋_GB2312" w:hAnsi="Calibri" w:eastAsia="仿宋_GB2312" w:cs="Times New Roman"/>
          <w:color w:val="auto"/>
          <w:kern w:val="0"/>
          <w:sz w:val="32"/>
          <w:szCs w:val="32"/>
          <w:highlight w:val="none"/>
          <w:lang w:val="en-US" w:eastAsia="zh-CN" w:bidi="ar-SA"/>
        </w:rPr>
        <w:t>定期开展业务培训，不断提高政府信息公开工作制度化、规范化水平。</w:t>
      </w:r>
      <w:r>
        <w:rPr>
          <w:rFonts w:hint="eastAsia" w:ascii="仿宋_GB2312" w:hAnsi="Calibri" w:eastAsia="仿宋_GB2312" w:cs="Times New Roman"/>
          <w:color w:val="auto"/>
          <w:kern w:val="0"/>
          <w:sz w:val="32"/>
          <w:szCs w:val="32"/>
          <w:highlight w:val="none"/>
          <w:lang w:val="en-US" w:eastAsia="zh-CN" w:bidi="ar-SA"/>
        </w:rPr>
        <w:t>三是</w:t>
      </w:r>
      <w:r>
        <w:rPr>
          <w:rFonts w:hint="default" w:ascii="仿宋_GB2312" w:hAnsi="Calibri" w:eastAsia="仿宋_GB2312" w:cs="Times New Roman"/>
          <w:color w:val="auto"/>
          <w:kern w:val="0"/>
          <w:sz w:val="32"/>
          <w:szCs w:val="32"/>
          <w:highlight w:val="none"/>
          <w:lang w:val="en-US" w:eastAsia="zh-CN" w:bidi="ar-SA"/>
        </w:rPr>
        <w:t>健全制度规范，及时主动公开。加强政务信息全生命周期管理，进一步完善政务公开的制度规范和工作流程。深化主动公开，完善公开内容，以高质量公开助力高质量发展。</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六、</w:t>
      </w:r>
      <w:r>
        <w:rPr>
          <w:rFonts w:ascii="黑体" w:hAnsi="黑体" w:eastAsia="黑体"/>
          <w:color w:val="auto"/>
          <w:sz w:val="32"/>
          <w:szCs w:val="32"/>
          <w:highlight w:val="none"/>
        </w:rPr>
        <w:t>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（一）信息处理费收取情况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s="Times New Roman"/>
          <w:color w:val="auto"/>
          <w:kern w:val="0"/>
          <w:sz w:val="32"/>
          <w:szCs w:val="32"/>
          <w:highlight w:val="none"/>
          <w:lang w:val="en-US" w:eastAsia="zh-CN" w:bidi="ar-SA"/>
        </w:rPr>
      </w:pPr>
      <w:r>
        <w:rPr>
          <w:rFonts w:hint="eastAsia" w:ascii="仿宋_GB2312" w:hAnsi="Calibri" w:eastAsia="仿宋_GB2312" w:cs="Times New Roman"/>
          <w:color w:val="auto"/>
          <w:kern w:val="0"/>
          <w:sz w:val="32"/>
          <w:szCs w:val="32"/>
          <w:highlight w:val="none"/>
          <w:lang w:val="en-US" w:eastAsia="zh-CN" w:bidi="ar-SA"/>
        </w:rPr>
        <w:t>按照《国务院办公厅关于印发〈政府信息公开信息处理费管理办法〉的通知》（国办函〔2020〕109号）规定的按件、按量收费标准，本年度未产生信息处理费。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（二）落实上级主管部门政务公开工作要点情况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s="Times New Roman"/>
          <w:color w:val="auto"/>
          <w:kern w:val="0"/>
          <w:sz w:val="32"/>
          <w:szCs w:val="32"/>
          <w:highlight w:val="none"/>
          <w:lang w:val="en-US" w:eastAsia="zh-CN" w:bidi="ar-SA"/>
        </w:rPr>
      </w:pPr>
      <w:r>
        <w:rPr>
          <w:rFonts w:hint="eastAsia" w:ascii="仿宋_GB2312" w:hAnsi="Calibri" w:eastAsia="仿宋_GB2312" w:cs="Times New Roman"/>
          <w:color w:val="auto"/>
          <w:kern w:val="0"/>
          <w:sz w:val="32"/>
          <w:szCs w:val="32"/>
          <w:highlight w:val="none"/>
          <w:lang w:val="en-US" w:eastAsia="zh-CN" w:bidi="ar-SA"/>
        </w:rPr>
        <w:t>泰山区综合行政执法局，认真贯彻落实省市区三级政务公开工作安排，加强部署，积极做好本部门各项政务公开工作。一是加强对政府信息政务公开的学习力度。定期组织业务培训，深入研习政务公开法规政策，让工作人员熟练掌握信息公开流程与标准，明晰自身职责，精准把握公开要点，从而提升工作能力，确保信息准确、及时、全面公开，为群众提供高效信息服务。二是严格落实上级单位政务公开要求。完善政务公开制度，规范信息审核、发布、更新流程，明确责任人。加强日常管理，定期自查自纠，及时整改问题，如信息更新不及时、公开内容不全面等。三是积极拓宽信息公开渠道，利用政府网站、政务新媒体等平台，及时发布城管工作动态、政策法规、办事指南等信息，持续提升政务公开工作水平，增强群众对城管工作的理解与支持，树立良好城管形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（三）人大代表建议和政协提案办理结果公开情况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s="Times New Roman"/>
          <w:color w:val="auto"/>
          <w:kern w:val="0"/>
          <w:sz w:val="32"/>
          <w:szCs w:val="32"/>
          <w:highlight w:val="none"/>
          <w:lang w:val="en-US" w:eastAsia="zh-CN" w:bidi="ar-SA"/>
        </w:rPr>
      </w:pPr>
      <w:r>
        <w:rPr>
          <w:rFonts w:hint="eastAsia" w:ascii="仿宋_GB2312" w:hAnsi="Calibri" w:eastAsia="仿宋_GB2312" w:cs="Times New Roman"/>
          <w:color w:val="auto"/>
          <w:kern w:val="0"/>
          <w:sz w:val="32"/>
          <w:szCs w:val="32"/>
          <w:highlight w:val="none"/>
          <w:lang w:val="en-US" w:eastAsia="zh-CN" w:bidi="ar-SA"/>
        </w:rPr>
        <w:t>2024年，区综合行政执法局共承办人大代表建议和政协委员提案11件，所有代表建议已全部办理完毕，并向代表作出了答复，所有提案已在规定时限内办复完毕，并向委员作出了答复。吸收采纳11条，不予采纳0条，吸收采纳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（四）2024年度政务公开工作创新情况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s="Times New Roman"/>
          <w:color w:val="auto"/>
          <w:kern w:val="0"/>
          <w:sz w:val="32"/>
          <w:szCs w:val="32"/>
          <w:highlight w:val="none"/>
          <w:lang w:val="en-US" w:eastAsia="zh-CN" w:bidi="ar-SA"/>
        </w:rPr>
      </w:pPr>
      <w:r>
        <w:rPr>
          <w:rFonts w:hint="eastAsia" w:ascii="仿宋_GB2312" w:hAnsi="Calibri" w:eastAsia="仿宋_GB2312" w:cs="Times New Roman"/>
          <w:color w:val="auto"/>
          <w:kern w:val="0"/>
          <w:sz w:val="32"/>
          <w:szCs w:val="32"/>
          <w:highlight w:val="none"/>
          <w:lang w:val="en-US" w:eastAsia="zh-CN" w:bidi="ar-SA"/>
        </w:rPr>
        <w:t>2024年，区综合行政执法局不断创新政务公开工作机制。一是完善工作机制。积极完善政务公开机制，创新政务公开新载体和新形势，通过不断优化政务公开专栏等形式和渠道向社会公开各种政务服务信息，实现让权利在阳光下运行。二是深化公开内容。围绕城市管理中心工作和公众关注和热点难点问题，加大对重大决策、重要政策、重点项目等信息的公开力度，不断拓展信息公开的范围和深度。三是提升透明度和公信力。通过加强政策解读和回应关切，及时回应社会关切和舆论关注的问题，增强了公众对城管工作的理解和支持，提高了城管工作的透明度和公信力。</w:t>
      </w: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decorative"/>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FB"/>
    <w:rsid w:val="003F5380"/>
    <w:rsid w:val="005F04B3"/>
    <w:rsid w:val="007043DD"/>
    <w:rsid w:val="00725311"/>
    <w:rsid w:val="007C0E41"/>
    <w:rsid w:val="008260F2"/>
    <w:rsid w:val="008510D4"/>
    <w:rsid w:val="008E79FC"/>
    <w:rsid w:val="009036FB"/>
    <w:rsid w:val="00A6635A"/>
    <w:rsid w:val="00A935C0"/>
    <w:rsid w:val="02987B74"/>
    <w:rsid w:val="04624A99"/>
    <w:rsid w:val="04661011"/>
    <w:rsid w:val="04BD1BA7"/>
    <w:rsid w:val="05AA0B23"/>
    <w:rsid w:val="063125AB"/>
    <w:rsid w:val="09164338"/>
    <w:rsid w:val="0BE44893"/>
    <w:rsid w:val="0C197EFD"/>
    <w:rsid w:val="0C886EAB"/>
    <w:rsid w:val="0F5B1EE7"/>
    <w:rsid w:val="118F7958"/>
    <w:rsid w:val="11F200C3"/>
    <w:rsid w:val="153C0E2B"/>
    <w:rsid w:val="16DE7DF3"/>
    <w:rsid w:val="16FE58E6"/>
    <w:rsid w:val="17600C4E"/>
    <w:rsid w:val="178F4385"/>
    <w:rsid w:val="195E64E9"/>
    <w:rsid w:val="1C010930"/>
    <w:rsid w:val="1E401394"/>
    <w:rsid w:val="20315E0F"/>
    <w:rsid w:val="20792A83"/>
    <w:rsid w:val="21537630"/>
    <w:rsid w:val="227609CD"/>
    <w:rsid w:val="24B72CC3"/>
    <w:rsid w:val="25943BF5"/>
    <w:rsid w:val="283D0195"/>
    <w:rsid w:val="297B3BC8"/>
    <w:rsid w:val="2A8D770F"/>
    <w:rsid w:val="2B5F071D"/>
    <w:rsid w:val="2D126E0D"/>
    <w:rsid w:val="2D6A3D37"/>
    <w:rsid w:val="2ED9699B"/>
    <w:rsid w:val="2FAA1E44"/>
    <w:rsid w:val="31473E7A"/>
    <w:rsid w:val="318E1295"/>
    <w:rsid w:val="319F23D5"/>
    <w:rsid w:val="324B4FBD"/>
    <w:rsid w:val="33CB12A8"/>
    <w:rsid w:val="34983880"/>
    <w:rsid w:val="364F21ED"/>
    <w:rsid w:val="372142C2"/>
    <w:rsid w:val="37DF3574"/>
    <w:rsid w:val="388A4CBC"/>
    <w:rsid w:val="38FADC0C"/>
    <w:rsid w:val="3BF75330"/>
    <w:rsid w:val="3F4940F4"/>
    <w:rsid w:val="3FDB2873"/>
    <w:rsid w:val="3FF605CD"/>
    <w:rsid w:val="418A4550"/>
    <w:rsid w:val="45280308"/>
    <w:rsid w:val="46401681"/>
    <w:rsid w:val="468B3F91"/>
    <w:rsid w:val="47D26C51"/>
    <w:rsid w:val="4C1B01EE"/>
    <w:rsid w:val="4D050CD7"/>
    <w:rsid w:val="4E2F67D9"/>
    <w:rsid w:val="4F337FD5"/>
    <w:rsid w:val="506863A4"/>
    <w:rsid w:val="50CD4459"/>
    <w:rsid w:val="521B14B1"/>
    <w:rsid w:val="53530C46"/>
    <w:rsid w:val="53E977FC"/>
    <w:rsid w:val="540366B0"/>
    <w:rsid w:val="55436A98"/>
    <w:rsid w:val="55E62390"/>
    <w:rsid w:val="57FC2C7E"/>
    <w:rsid w:val="59186333"/>
    <w:rsid w:val="5DE6406B"/>
    <w:rsid w:val="5EEDC3F8"/>
    <w:rsid w:val="60DA1397"/>
    <w:rsid w:val="6170330B"/>
    <w:rsid w:val="62596646"/>
    <w:rsid w:val="635D0996"/>
    <w:rsid w:val="65FF0DA3"/>
    <w:rsid w:val="66C33EDD"/>
    <w:rsid w:val="671F2A18"/>
    <w:rsid w:val="69393047"/>
    <w:rsid w:val="6C80026C"/>
    <w:rsid w:val="6D876F5F"/>
    <w:rsid w:val="6FC13CE5"/>
    <w:rsid w:val="75894543"/>
    <w:rsid w:val="758F2B47"/>
    <w:rsid w:val="76DDF9C0"/>
    <w:rsid w:val="778D13C9"/>
    <w:rsid w:val="77B81EDB"/>
    <w:rsid w:val="784604CA"/>
    <w:rsid w:val="79B80F53"/>
    <w:rsid w:val="7A387F61"/>
    <w:rsid w:val="7A666C01"/>
    <w:rsid w:val="7AF79EE2"/>
    <w:rsid w:val="7B8932DE"/>
    <w:rsid w:val="7DB12889"/>
    <w:rsid w:val="7E5C8C4E"/>
    <w:rsid w:val="7F3F70A9"/>
    <w:rsid w:val="7F7F0ED8"/>
    <w:rsid w:val="7FFEDE2F"/>
    <w:rsid w:val="8FBBAD1D"/>
    <w:rsid w:val="ABDE8AB7"/>
    <w:rsid w:val="BC375350"/>
    <w:rsid w:val="CF3E182E"/>
    <w:rsid w:val="D7EB44AB"/>
    <w:rsid w:val="DEFFB33B"/>
    <w:rsid w:val="EF5EF59E"/>
    <w:rsid w:val="EFBD352D"/>
    <w:rsid w:val="F77C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qFormat/>
    <w:uiPriority w:val="0"/>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Www.Ndeer.Com</Company>
  <Pages>3</Pages>
  <Words>2933</Words>
  <Characters>3012</Characters>
  <Lines>30</Lines>
  <Paragraphs>8</Paragraphs>
  <TotalTime>33</TotalTime>
  <ScaleCrop>false</ScaleCrop>
  <LinksUpToDate>false</LinksUpToDate>
  <CharactersWithSpaces>3014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2020-01-10T02:42:00Z</dcterms:created>
  <dc:creator>Administrator</dc:creator>
  <cp:lastModifiedBy>kylin</cp:lastModifiedBy>
  <dcterms:modified xsi:type="dcterms:W3CDTF">2025-02-08T11:10:12Z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A1DE3E3A8889477F992AA6D42899E270_13</vt:lpwstr>
  </property>
  <property fmtid="{D5CDD505-2E9C-101B-9397-08002B2CF9AE}" pid="4" name="KSOTemplateDocerSaveRecord">
    <vt:lpwstr>eyJoZGlkIjoiZDE2ZmNjNzRmMjViN2ZiNzE4MmZlNTkxZmNjMGYwZDkiLCJ1c2VySWQiOiIzNTM1NTgxNDQifQ==</vt:lpwstr>
  </property>
</Properties>
</file>