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jc w:val="both"/>
        <w:rPr>
          <w:rFonts w:ascii="Times New Roman" w:hAnsi="Times New Roman" w:eastAsia="黑体"/>
          <w:color w:val="333333"/>
          <w:sz w:val="32"/>
          <w:szCs w:val="32"/>
        </w:rPr>
      </w:pPr>
    </w:p>
    <w:p>
      <w:pPr>
        <w:pStyle w:val="6"/>
        <w:spacing w:before="0" w:beforeAutospacing="0" w:after="0" w:afterAutospacing="0" w:line="600" w:lineRule="exact"/>
        <w:ind w:firstLine="920" w:firstLineChars="200"/>
        <w:jc w:val="center"/>
        <w:rPr>
          <w:rFonts w:hint="eastAsia" w:ascii="Times New Roman" w:hAnsi="Times New Roman" w:eastAsia="方正小标宋简体"/>
          <w:color w:val="333333"/>
          <w:spacing w:val="10"/>
          <w:sz w:val="44"/>
          <w:szCs w:val="44"/>
        </w:rPr>
      </w:pPr>
      <w:r>
        <w:rPr>
          <w:rFonts w:ascii="Times New Roman" w:hAnsi="Times New Roman" w:eastAsia="方正小标宋简体"/>
          <w:color w:val="333333"/>
          <w:spacing w:val="10"/>
          <w:sz w:val="44"/>
          <w:szCs w:val="44"/>
        </w:rPr>
        <w:t>泰安市泰山区</w:t>
      </w:r>
      <w:r>
        <w:rPr>
          <w:rFonts w:hint="eastAsia" w:ascii="Times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spacing w:val="10"/>
          <w:sz w:val="44"/>
          <w:szCs w:val="44"/>
        </w:rPr>
        <w:t>局</w:t>
      </w:r>
    </w:p>
    <w:p>
      <w:pPr>
        <w:pStyle w:val="6"/>
        <w:spacing w:before="0" w:beforeAutospacing="0" w:after="0" w:afterAutospacing="0" w:line="600" w:lineRule="exact"/>
        <w:ind w:firstLine="920" w:firstLineChars="200"/>
        <w:jc w:val="center"/>
        <w:rPr>
          <w:rFonts w:ascii="Times New Roman" w:hAnsi="Times New Roman" w:eastAsia="方正小标宋简体"/>
          <w:color w:val="333333"/>
          <w:spacing w:val="10"/>
          <w:sz w:val="44"/>
          <w:szCs w:val="44"/>
        </w:rPr>
      </w:pPr>
      <w:r>
        <w:rPr>
          <w:rFonts w:hint="eastAsia" w:ascii="Times New Roman" w:hAnsi="Times New Roman" w:eastAsia="方正小标宋简体"/>
          <w:color w:val="333333"/>
          <w:spacing w:val="10"/>
          <w:sz w:val="44"/>
          <w:szCs w:val="44"/>
        </w:rPr>
        <w:t>2021</w:t>
      </w:r>
      <w:r>
        <w:rPr>
          <w:rFonts w:ascii="Times New Roman" w:hAnsi="Times New Roman" w:eastAsia="方正小标宋简体"/>
          <w:color w:val="333333"/>
          <w:spacing w:val="10"/>
          <w:sz w:val="44"/>
          <w:szCs w:val="44"/>
        </w:rPr>
        <w:t>年政府信息公开工作年度报告</w:t>
      </w:r>
    </w:p>
    <w:p>
      <w:pPr>
        <w:pStyle w:val="6"/>
        <w:spacing w:before="0" w:beforeAutospacing="0" w:after="0" w:afterAutospacing="0" w:line="600" w:lineRule="exact"/>
        <w:ind w:firstLine="880" w:firstLineChars="200"/>
        <w:jc w:val="both"/>
        <w:rPr>
          <w:rFonts w:ascii="Times New Roman" w:hAnsi="Times New Roman" w:eastAsia="方正小标宋简体"/>
          <w:sz w:val="44"/>
          <w:szCs w:val="44"/>
        </w:rPr>
      </w:pPr>
    </w:p>
    <w:p>
      <w:pPr>
        <w:pStyle w:val="6"/>
        <w:spacing w:before="0" w:beforeAutospacing="0" w:after="0" w:afterAutospacing="0"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根据《中华人民共和国政府信息公开条例》</w:t>
      </w:r>
      <w:r>
        <w:rPr>
          <w:rFonts w:hint="eastAsia" w:ascii="仿宋_GB2312" w:eastAsia="仿宋_GB2312"/>
          <w:sz w:val="32"/>
          <w:szCs w:val="32"/>
          <w:lang w:eastAsia="zh-CN"/>
        </w:rPr>
        <w:t>，</w:t>
      </w:r>
      <w:r>
        <w:rPr>
          <w:rFonts w:hint="eastAsia" w:ascii="仿宋_GB2312" w:eastAsia="仿宋_GB2312"/>
          <w:sz w:val="32"/>
          <w:szCs w:val="32"/>
        </w:rPr>
        <w:t>特向社会公布202</w:t>
      </w:r>
      <w:r>
        <w:rPr>
          <w:rFonts w:hint="eastAsia" w:ascii="仿宋_GB2312" w:eastAsia="仿宋_GB2312"/>
          <w:sz w:val="32"/>
          <w:szCs w:val="32"/>
          <w:lang w:val="en-US" w:eastAsia="zh-CN"/>
        </w:rPr>
        <w:t>1</w:t>
      </w:r>
      <w:r>
        <w:rPr>
          <w:rFonts w:hint="eastAsia" w:ascii="仿宋_GB2312" w:eastAsia="仿宋_GB2312"/>
          <w:sz w:val="32"/>
          <w:szCs w:val="32"/>
        </w:rPr>
        <w:t>年度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w:t>
      </w:r>
      <w:r>
        <w:rPr>
          <w:rFonts w:hint="eastAsia" w:ascii="仿宋_GB2312" w:eastAsia="仿宋_GB2312"/>
          <w:sz w:val="32"/>
          <w:szCs w:val="32"/>
          <w:lang w:eastAsia="zh-CN"/>
        </w:rPr>
        <w:t>；</w:t>
      </w:r>
      <w:r>
        <w:rPr>
          <w:rFonts w:hint="eastAsia" w:ascii="仿宋_GB2312" w:eastAsia="仿宋_GB2312"/>
          <w:sz w:val="32"/>
          <w:szCs w:val="32"/>
        </w:rPr>
        <w:t>其他需要报告的事项。报告中所列数据的统计期限自202</w:t>
      </w:r>
      <w:r>
        <w:rPr>
          <w:rFonts w:hint="eastAsia" w:ascii="仿宋_GB2312" w:eastAsia="仿宋_GB2312"/>
          <w:sz w:val="32"/>
          <w:szCs w:val="32"/>
          <w:lang w:val="en-US" w:eastAsia="zh-CN"/>
        </w:rPr>
        <w:t>1</w:t>
      </w:r>
      <w:r>
        <w:rPr>
          <w:rFonts w:hint="eastAsia" w:ascii="仿宋_GB2312" w:eastAsia="仿宋_GB2312"/>
          <w:sz w:val="32"/>
          <w:szCs w:val="32"/>
        </w:rPr>
        <w:t>年1月1日起至202</w:t>
      </w:r>
      <w:r>
        <w:rPr>
          <w:rFonts w:hint="eastAsia" w:ascii="仿宋_GB2312" w:eastAsia="仿宋_GB2312"/>
          <w:sz w:val="32"/>
          <w:szCs w:val="32"/>
          <w:lang w:val="en-US" w:eastAsia="zh-CN"/>
        </w:rPr>
        <w:t>1</w:t>
      </w:r>
      <w:r>
        <w:rPr>
          <w:rFonts w:hint="eastAsia" w:ascii="仿宋_GB2312" w:eastAsia="仿宋_GB2312"/>
          <w:sz w:val="32"/>
          <w:szCs w:val="32"/>
        </w:rPr>
        <w:t>年12月31日止。</w:t>
      </w:r>
    </w:p>
    <w:p>
      <w:pPr>
        <w:pStyle w:val="6"/>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color w:val="333333"/>
          <w:sz w:val="32"/>
          <w:szCs w:val="32"/>
        </w:rPr>
        <w:t>一、总体情况</w:t>
      </w:r>
    </w:p>
    <w:p>
      <w:pPr>
        <w:pStyle w:val="6"/>
        <w:spacing w:before="0" w:beforeAutospacing="0" w:after="0" w:afterAutospacing="0" w:line="600" w:lineRule="exact"/>
        <w:ind w:firstLine="620" w:firstLineChars="200"/>
        <w:jc w:val="both"/>
        <w:rPr>
          <w:rFonts w:ascii="Times New Roman" w:hAnsi="Times New Roman" w:eastAsia="仿宋_GB2312"/>
          <w:color w:val="333333"/>
          <w:sz w:val="32"/>
          <w:szCs w:val="32"/>
        </w:rPr>
      </w:pPr>
      <w:r>
        <w:rPr>
          <w:rFonts w:ascii="仿宋_GB2312" w:hAnsi="宋体" w:eastAsia="仿宋_GB2312" w:cs="仿宋_GB2312"/>
          <w:i w:val="0"/>
          <w:iCs w:val="0"/>
          <w:caps w:val="0"/>
          <w:color w:val="333333"/>
          <w:spacing w:val="0"/>
          <w:sz w:val="31"/>
          <w:szCs w:val="31"/>
        </w:rPr>
        <w:t>2021年，</w:t>
      </w:r>
      <w:r>
        <w:rPr>
          <w:rFonts w:hint="eastAsia" w:ascii="仿宋_GB2312" w:hAnsi="宋体" w:eastAsia="仿宋_GB2312" w:cs="仿宋_GB2312"/>
          <w:i w:val="0"/>
          <w:iCs w:val="0"/>
          <w:caps w:val="0"/>
          <w:color w:val="333333"/>
          <w:spacing w:val="0"/>
          <w:sz w:val="31"/>
          <w:szCs w:val="31"/>
          <w:lang w:val="en-US" w:eastAsia="zh-CN"/>
        </w:rPr>
        <w:t>泰山区</w:t>
      </w:r>
      <w:r>
        <w:rPr>
          <w:rFonts w:ascii="仿宋_GB2312" w:hAnsi="宋体" w:eastAsia="仿宋_GB2312" w:cs="仿宋_GB2312"/>
          <w:i w:val="0"/>
          <w:iCs w:val="0"/>
          <w:caps w:val="0"/>
          <w:color w:val="333333"/>
          <w:spacing w:val="0"/>
          <w:sz w:val="31"/>
          <w:szCs w:val="31"/>
        </w:rPr>
        <w:t>统计局以习近平新时代中国特色社会主义思想为指导，认真贯彻落实《中华人民共和国政府信息公开条例》和省、市</w:t>
      </w:r>
      <w:r>
        <w:rPr>
          <w:rFonts w:hint="eastAsia" w:ascii="仿宋_GB2312" w:hAnsi="宋体" w:eastAsia="仿宋_GB2312" w:cs="仿宋_GB2312"/>
          <w:i w:val="0"/>
          <w:iCs w:val="0"/>
          <w:caps w:val="0"/>
          <w:color w:val="333333"/>
          <w:spacing w:val="0"/>
          <w:sz w:val="31"/>
          <w:szCs w:val="31"/>
          <w:lang w:eastAsia="zh-CN"/>
        </w:rPr>
        <w:t>、</w:t>
      </w:r>
      <w:r>
        <w:rPr>
          <w:rFonts w:hint="eastAsia" w:ascii="仿宋_GB2312" w:hAnsi="宋体" w:eastAsia="仿宋_GB2312" w:cs="仿宋_GB2312"/>
          <w:i w:val="0"/>
          <w:iCs w:val="0"/>
          <w:caps w:val="0"/>
          <w:color w:val="333333"/>
          <w:spacing w:val="0"/>
          <w:sz w:val="31"/>
          <w:szCs w:val="31"/>
          <w:lang w:val="en-US" w:eastAsia="zh-CN"/>
        </w:rPr>
        <w:t>区</w:t>
      </w:r>
      <w:r>
        <w:rPr>
          <w:rFonts w:ascii="仿宋_GB2312" w:hAnsi="宋体" w:eastAsia="仿宋_GB2312" w:cs="仿宋_GB2312"/>
          <w:i w:val="0"/>
          <w:iCs w:val="0"/>
          <w:caps w:val="0"/>
          <w:color w:val="333333"/>
          <w:spacing w:val="0"/>
          <w:sz w:val="31"/>
          <w:szCs w:val="31"/>
        </w:rPr>
        <w:t>有关工作部署，结合统计工作实际，不断强化制度机制和平台建设，主动加大信息公开力度，着力强化数据发布，政府信息公开工作在制度化、规范化方面取得明显成效</w:t>
      </w:r>
      <w:r>
        <w:rPr>
          <w:rFonts w:hint="eastAsia" w:ascii="仿宋" w:hAnsi="仿宋" w:eastAsia="仿宋" w:cs="宋体"/>
          <w:color w:val="000000"/>
          <w:sz w:val="32"/>
          <w:szCs w:val="32"/>
          <w:shd w:val="clear" w:color="auto" w:fill="FFFFFF"/>
        </w:rPr>
        <w:t>。</w:t>
      </w:r>
    </w:p>
    <w:p>
      <w:pPr>
        <w:spacing w:line="600" w:lineRule="exact"/>
        <w:ind w:firstLine="643" w:firstLineChars="200"/>
        <w:rPr>
          <w:rFonts w:hint="eastAsia" w:ascii="仿宋_GB2312" w:hAnsi="宋体" w:eastAsia="仿宋_GB2312" w:cs="仿宋_GB2312"/>
          <w:i w:val="0"/>
          <w:iCs w:val="0"/>
          <w:caps w:val="0"/>
          <w:color w:val="333333"/>
          <w:spacing w:val="0"/>
          <w:sz w:val="31"/>
          <w:szCs w:val="31"/>
        </w:rPr>
      </w:pPr>
      <w:r>
        <w:rPr>
          <w:rFonts w:ascii="仿宋_GB2312" w:eastAsia="仿宋_GB2312"/>
          <w:b/>
          <w:bCs/>
          <w:sz w:val="32"/>
          <w:szCs w:val="32"/>
        </w:rPr>
        <w:t>1.主动公开</w:t>
      </w:r>
      <w:r>
        <w:rPr>
          <w:rFonts w:hint="eastAsia" w:ascii="仿宋_GB2312" w:eastAsia="仿宋_GB2312"/>
          <w:b/>
          <w:bCs/>
          <w:sz w:val="32"/>
          <w:szCs w:val="32"/>
        </w:rPr>
        <w:t>。</w:t>
      </w:r>
      <w:r>
        <w:rPr>
          <w:rFonts w:hint="eastAsia" w:ascii="仿宋_GB2312" w:hAnsi="宋体" w:eastAsia="仿宋_GB2312" w:cs="仿宋_GB2312"/>
          <w:i w:val="0"/>
          <w:iCs w:val="0"/>
          <w:caps w:val="0"/>
          <w:color w:val="333333"/>
          <w:spacing w:val="0"/>
          <w:sz w:val="31"/>
          <w:szCs w:val="31"/>
          <w:lang w:val="en-US" w:eastAsia="zh-CN"/>
        </w:rPr>
        <w:t>区</w:t>
      </w:r>
      <w:r>
        <w:rPr>
          <w:rFonts w:hint="default" w:ascii="仿宋_GB2312" w:hAnsi="宋体" w:eastAsia="仿宋_GB2312" w:cs="仿宋_GB2312"/>
          <w:i w:val="0"/>
          <w:iCs w:val="0"/>
          <w:caps w:val="0"/>
          <w:color w:val="333333"/>
          <w:spacing w:val="0"/>
          <w:sz w:val="31"/>
          <w:szCs w:val="31"/>
        </w:rPr>
        <w:t>统计局坚持公开为常态、不公开为例外，不断加大主动公开力度，进一步明确政府信息公开范围、信息分类、编排方式、获取方式、监督方式和程序等内容，将责任机构、获取途径、联系方式等全部列入公开指南，更大限度方便公民、法人和其他组织获取政府信息</w:t>
      </w:r>
      <w:r>
        <w:rPr>
          <w:rFonts w:ascii="仿宋" w:hAnsi="仿宋" w:eastAsia="仿宋"/>
          <w:color w:val="000000"/>
          <w:kern w:val="0"/>
          <w:sz w:val="32"/>
          <w:szCs w:val="32"/>
        </w:rPr>
        <w:t>。</w:t>
      </w:r>
      <w:r>
        <w:rPr>
          <w:rFonts w:hint="eastAsia" w:ascii="仿宋_GB2312" w:hAnsi="宋体" w:eastAsia="仿宋_GB2312" w:cs="仿宋_GB2312"/>
          <w:i w:val="0"/>
          <w:iCs w:val="0"/>
          <w:caps w:val="0"/>
          <w:color w:val="333333"/>
          <w:spacing w:val="0"/>
          <w:sz w:val="31"/>
          <w:szCs w:val="31"/>
        </w:rPr>
        <w:t>2021年，通过区政府信息公开网站发布信息</w:t>
      </w:r>
      <w:r>
        <w:rPr>
          <w:rFonts w:hint="eastAsia" w:ascii="仿宋_GB2312" w:hAnsi="宋体" w:eastAsia="仿宋_GB2312" w:cs="仿宋_GB2312"/>
          <w:i w:val="0"/>
          <w:iCs w:val="0"/>
          <w:caps w:val="0"/>
          <w:color w:val="333333"/>
          <w:spacing w:val="0"/>
          <w:sz w:val="31"/>
          <w:szCs w:val="31"/>
          <w:lang w:val="en-US" w:eastAsia="zh-CN"/>
        </w:rPr>
        <w:t>81条</w:t>
      </w:r>
      <w:r>
        <w:rPr>
          <w:rFonts w:hint="eastAsia" w:ascii="仿宋_GB2312" w:hAnsi="宋体" w:eastAsia="仿宋_GB2312" w:cs="仿宋_GB2312"/>
          <w:i w:val="0"/>
          <w:iCs w:val="0"/>
          <w:caps w:val="0"/>
          <w:color w:val="333333"/>
          <w:spacing w:val="0"/>
          <w:sz w:val="31"/>
          <w:szCs w:val="31"/>
        </w:rPr>
        <w:t>，对《泰安市泰山区人民政府办公室关于</w:t>
      </w:r>
      <w:r>
        <w:rPr>
          <w:rFonts w:hint="eastAsia" w:ascii="仿宋_GB2312" w:hAnsi="宋体" w:eastAsia="仿宋_GB2312" w:cs="仿宋_GB2312"/>
          <w:i w:val="0"/>
          <w:iCs w:val="0"/>
          <w:caps w:val="0"/>
          <w:color w:val="333333"/>
          <w:spacing w:val="0"/>
          <w:sz w:val="31"/>
          <w:szCs w:val="31"/>
          <w:lang w:val="en-US" w:eastAsia="zh-CN"/>
        </w:rPr>
        <w:t>进一步做好入库纳统工作的实施意见</w:t>
      </w:r>
      <w:r>
        <w:rPr>
          <w:rFonts w:hint="eastAsia" w:ascii="仿宋_GB2312" w:hAnsi="宋体" w:eastAsia="仿宋_GB2312" w:cs="仿宋_GB2312"/>
          <w:i w:val="0"/>
          <w:iCs w:val="0"/>
          <w:caps w:val="0"/>
          <w:color w:val="333333"/>
          <w:spacing w:val="0"/>
          <w:sz w:val="31"/>
          <w:szCs w:val="31"/>
        </w:rPr>
        <w:t>》（泰山政办字〔2021〕1</w:t>
      </w:r>
      <w:r>
        <w:rPr>
          <w:rFonts w:hint="eastAsia" w:ascii="仿宋_GB2312" w:hAnsi="宋体" w:eastAsia="仿宋_GB2312" w:cs="仿宋_GB2312"/>
          <w:i w:val="0"/>
          <w:iCs w:val="0"/>
          <w:caps w:val="0"/>
          <w:color w:val="333333"/>
          <w:spacing w:val="0"/>
          <w:sz w:val="31"/>
          <w:szCs w:val="31"/>
          <w:lang w:val="en-US" w:eastAsia="zh-CN"/>
        </w:rPr>
        <w:t>0</w:t>
      </w:r>
      <w:r>
        <w:rPr>
          <w:rFonts w:hint="eastAsia" w:ascii="仿宋_GB2312" w:hAnsi="宋体" w:eastAsia="仿宋_GB2312" w:cs="仿宋_GB2312"/>
          <w:i w:val="0"/>
          <w:iCs w:val="0"/>
          <w:caps w:val="0"/>
          <w:color w:val="333333"/>
          <w:spacing w:val="0"/>
          <w:sz w:val="31"/>
          <w:szCs w:val="31"/>
        </w:rPr>
        <w:t>号）进行了政策解读，进一步扩大了社会公众的知情权、参与权和监督权。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firstLineChars="200"/>
        <w:jc w:val="left"/>
        <w:rPr>
          <w:rFonts w:hint="eastAsia" w:ascii="仿宋_GB2312" w:hAnsi="宋体" w:eastAsia="仿宋_GB2312" w:cs="仿宋_GB2312"/>
          <w:i w:val="0"/>
          <w:iCs w:val="0"/>
          <w:caps w:val="0"/>
          <w:color w:val="333333"/>
          <w:spacing w:val="0"/>
          <w:kern w:val="2"/>
          <w:sz w:val="31"/>
          <w:szCs w:val="31"/>
          <w:lang w:val="en-US" w:eastAsia="zh-CN" w:bidi="ar-SA"/>
        </w:rPr>
      </w:pPr>
      <w:r>
        <w:rPr>
          <w:rFonts w:ascii="仿宋_GB2312" w:eastAsia="仿宋_GB2312"/>
          <w:b/>
          <w:bCs/>
          <w:sz w:val="32"/>
          <w:szCs w:val="32"/>
        </w:rPr>
        <w:t>2.依申请公开</w:t>
      </w:r>
      <w:r>
        <w:rPr>
          <w:rFonts w:hint="default" w:ascii="楷体_GB2312" w:hAnsi="微软雅黑" w:eastAsia="楷体_GB2312" w:cs="楷体_GB2312"/>
          <w:i w:val="0"/>
          <w:iCs w:val="0"/>
          <w:caps w:val="0"/>
          <w:color w:val="333333"/>
          <w:spacing w:val="0"/>
          <w:sz w:val="31"/>
          <w:szCs w:val="31"/>
        </w:rPr>
        <w:t>。</w:t>
      </w:r>
      <w:r>
        <w:rPr>
          <w:rFonts w:ascii="仿宋_GB2312" w:hAnsi="微软雅黑" w:eastAsia="仿宋_GB2312" w:cs="仿宋_GB2312"/>
          <w:i w:val="0"/>
          <w:iCs w:val="0"/>
          <w:caps w:val="0"/>
          <w:color w:val="333333"/>
          <w:spacing w:val="0"/>
          <w:sz w:val="31"/>
          <w:szCs w:val="31"/>
        </w:rPr>
        <w:t>我局高度重视依申请公开工作，指定专人负责此项工</w:t>
      </w:r>
      <w:r>
        <w:rPr>
          <w:rFonts w:hint="eastAsia" w:ascii="仿宋_GB2312" w:hAnsi="宋体" w:eastAsia="仿宋_GB2312" w:cs="仿宋_GB2312"/>
          <w:i w:val="0"/>
          <w:iCs w:val="0"/>
          <w:caps w:val="0"/>
          <w:color w:val="333333"/>
          <w:spacing w:val="0"/>
          <w:kern w:val="2"/>
          <w:sz w:val="31"/>
          <w:szCs w:val="31"/>
          <w:lang w:val="en-US" w:eastAsia="zh-CN" w:bidi="ar-SA"/>
        </w:rPr>
        <w:t>作，按照政务公开有关规定和程序，给予申请人书面答复。2021年我局通过政务公开网收到的关于提供相关统计数据政务信息公开申请0条。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rPr>
        <w:t xml:space="preserve">  </w:t>
      </w:r>
      <w:r>
        <w:rPr>
          <w:rFonts w:hint="default" w:ascii="仿宋_GB2312" w:eastAsia="仿宋_GB2312" w:hAnsiTheme="minorHAnsi" w:cstheme="minorBidi"/>
          <w:b/>
          <w:bCs/>
          <w:kern w:val="2"/>
          <w:sz w:val="32"/>
          <w:szCs w:val="32"/>
          <w:lang w:val="en-US" w:eastAsia="zh-CN" w:bidi="ar-SA"/>
        </w:rPr>
        <w:t>  3、政府信息管理。</w:t>
      </w:r>
      <w:r>
        <w:rPr>
          <w:rFonts w:hint="default" w:ascii="仿宋_GB2312" w:hAnsi="微软雅黑" w:eastAsia="仿宋_GB2312" w:cs="仿宋_GB2312"/>
          <w:i w:val="0"/>
          <w:iCs w:val="0"/>
          <w:caps w:val="0"/>
          <w:color w:val="333333"/>
          <w:spacing w:val="0"/>
          <w:sz w:val="31"/>
          <w:szCs w:val="31"/>
        </w:rPr>
        <w:t>严</w:t>
      </w:r>
      <w:r>
        <w:rPr>
          <w:rFonts w:hint="default" w:ascii="仿宋_GB2312" w:hAnsi="宋体" w:eastAsia="仿宋_GB2312" w:cs="仿宋_GB2312"/>
          <w:i w:val="0"/>
          <w:iCs w:val="0"/>
          <w:caps w:val="0"/>
          <w:color w:val="333333"/>
          <w:spacing w:val="0"/>
          <w:kern w:val="2"/>
          <w:sz w:val="31"/>
          <w:szCs w:val="31"/>
          <w:lang w:val="en-US" w:eastAsia="zh-CN" w:bidi="ar-SA"/>
        </w:rPr>
        <w:t>格遵循信息发布“谁发布、谁审查、谁负责”的原则，建立和完善政府信息发布审核制度，</w:t>
      </w:r>
      <w:r>
        <w:rPr>
          <w:rFonts w:hint="eastAsia" w:ascii="仿宋_GB2312" w:hAnsi="宋体" w:eastAsia="仿宋_GB2312" w:cs="仿宋_GB2312"/>
          <w:i w:val="0"/>
          <w:iCs w:val="0"/>
          <w:caps w:val="0"/>
          <w:color w:val="333333"/>
          <w:spacing w:val="0"/>
          <w:kern w:val="2"/>
          <w:sz w:val="31"/>
          <w:szCs w:val="31"/>
          <w:lang w:val="en-US" w:eastAsia="zh-CN" w:bidi="ar-SA"/>
        </w:rPr>
        <w:t>对</w:t>
      </w:r>
      <w:r>
        <w:rPr>
          <w:rFonts w:hint="default" w:ascii="仿宋_GB2312" w:hAnsi="宋体" w:eastAsia="仿宋_GB2312" w:cs="仿宋_GB2312"/>
          <w:i w:val="0"/>
          <w:iCs w:val="0"/>
          <w:caps w:val="0"/>
          <w:color w:val="333333"/>
          <w:spacing w:val="0"/>
          <w:kern w:val="2"/>
          <w:sz w:val="31"/>
          <w:szCs w:val="31"/>
          <w:lang w:val="en-US" w:eastAsia="zh-CN" w:bidi="ar-SA"/>
        </w:rPr>
        <w:t>信息进行审核；</w:t>
      </w:r>
      <w:r>
        <w:rPr>
          <w:rFonts w:hint="eastAsia" w:ascii="仿宋_GB2312" w:hAnsi="宋体" w:eastAsia="仿宋_GB2312" w:cs="仿宋_GB2312"/>
          <w:i w:val="0"/>
          <w:iCs w:val="0"/>
          <w:caps w:val="0"/>
          <w:color w:val="333333"/>
          <w:spacing w:val="0"/>
          <w:kern w:val="2"/>
          <w:sz w:val="31"/>
          <w:szCs w:val="31"/>
          <w:lang w:val="en-US" w:eastAsia="zh-CN" w:bidi="ar-SA"/>
        </w:rPr>
        <w:t>严格保证政府信息公开内容准确无误</w:t>
      </w:r>
      <w:r>
        <w:rPr>
          <w:rFonts w:hint="default" w:ascii="仿宋_GB2312" w:hAnsi="宋体" w:eastAsia="仿宋_GB2312" w:cs="仿宋_GB2312"/>
          <w:i w:val="0"/>
          <w:iCs w:val="0"/>
          <w:caps w:val="0"/>
          <w:color w:val="333333"/>
          <w:spacing w:val="0"/>
          <w:kern w:val="2"/>
          <w:sz w:val="31"/>
          <w:szCs w:val="31"/>
          <w:lang w:val="en-US" w:eastAsia="zh-CN" w:bidi="ar-SA"/>
        </w:rPr>
        <w:t>；扎实做好信息服务，及时向社会公开统计政务信息，如公</w:t>
      </w:r>
      <w:r>
        <w:rPr>
          <w:rFonts w:hint="default" w:ascii="仿宋_GB2312" w:hAnsi="微软雅黑" w:eastAsia="仿宋_GB2312" w:cs="仿宋_GB2312"/>
          <w:i w:val="0"/>
          <w:iCs w:val="0"/>
          <w:caps w:val="0"/>
          <w:color w:val="333333"/>
          <w:spacing w:val="0"/>
          <w:sz w:val="31"/>
          <w:szCs w:val="31"/>
        </w:rPr>
        <w:t>众普遍关心的统计信息等通过政府网站进行公开发布。</w:t>
      </w:r>
    </w:p>
    <w:p>
      <w:pPr>
        <w:ind w:firstLine="643" w:firstLineChars="200"/>
        <w:rPr>
          <w:rFonts w:ascii="仿宋" w:hAnsi="仿宋" w:eastAsia="仿宋"/>
          <w:bCs/>
          <w:color w:val="333333"/>
          <w:sz w:val="32"/>
          <w:szCs w:val="32"/>
        </w:rPr>
      </w:pPr>
      <w:r>
        <w:rPr>
          <w:rFonts w:ascii="仿宋_GB2312" w:eastAsia="仿宋_GB2312"/>
          <w:b/>
          <w:bCs/>
          <w:sz w:val="32"/>
          <w:szCs w:val="32"/>
        </w:rPr>
        <w:t>4.</w:t>
      </w:r>
      <w:r>
        <w:rPr>
          <w:rFonts w:hint="eastAsia" w:ascii="仿宋_GB2312" w:eastAsia="仿宋_GB2312"/>
          <w:b/>
          <w:bCs/>
          <w:sz w:val="32"/>
          <w:szCs w:val="32"/>
        </w:rPr>
        <w:t>政府信息公开</w:t>
      </w:r>
      <w:r>
        <w:rPr>
          <w:rFonts w:ascii="仿宋_GB2312" w:eastAsia="仿宋_GB2312"/>
          <w:b/>
          <w:bCs/>
          <w:sz w:val="32"/>
          <w:szCs w:val="32"/>
        </w:rPr>
        <w:t>平台建设</w:t>
      </w:r>
      <w:r>
        <w:rPr>
          <w:rFonts w:hint="eastAsia" w:ascii="仿宋_GB2312" w:eastAsia="仿宋_GB2312"/>
          <w:b/>
          <w:bCs/>
          <w:sz w:val="32"/>
          <w:szCs w:val="32"/>
        </w:rPr>
        <w:t>。</w:t>
      </w:r>
      <w:r>
        <w:rPr>
          <w:rFonts w:ascii="仿宋" w:hAnsi="仿宋" w:eastAsia="仿宋"/>
          <w:bCs/>
          <w:color w:val="333333"/>
          <w:sz w:val="32"/>
          <w:szCs w:val="32"/>
        </w:rPr>
        <w:t>报告的电子版可在</w:t>
      </w:r>
      <w:r>
        <w:rPr>
          <w:rFonts w:hint="eastAsia" w:ascii="仿宋" w:hAnsi="仿宋" w:eastAsia="仿宋"/>
          <w:bCs/>
          <w:color w:val="333333"/>
          <w:sz w:val="32"/>
          <w:szCs w:val="32"/>
        </w:rPr>
        <w:t>泰山区</w:t>
      </w:r>
      <w:r>
        <w:rPr>
          <w:rFonts w:ascii="仿宋" w:hAnsi="仿宋" w:eastAsia="仿宋"/>
          <w:bCs/>
          <w:color w:val="333333"/>
          <w:sz w:val="32"/>
          <w:szCs w:val="32"/>
        </w:rPr>
        <w:t>人民政府网站（www.</w:t>
      </w:r>
      <w:r>
        <w:rPr>
          <w:rFonts w:hint="eastAsia" w:ascii="仿宋" w:hAnsi="仿宋" w:eastAsia="仿宋"/>
          <w:bCs/>
          <w:color w:val="333333"/>
          <w:sz w:val="32"/>
          <w:szCs w:val="32"/>
        </w:rPr>
        <w:t>sd</w:t>
      </w:r>
      <w:r>
        <w:rPr>
          <w:rFonts w:ascii="仿宋" w:hAnsi="仿宋" w:eastAsia="仿宋"/>
          <w:bCs/>
          <w:color w:val="333333"/>
          <w:sz w:val="32"/>
          <w:szCs w:val="32"/>
        </w:rPr>
        <w:t>tai</w:t>
      </w:r>
      <w:r>
        <w:rPr>
          <w:rFonts w:hint="eastAsia" w:ascii="仿宋" w:hAnsi="仿宋" w:eastAsia="仿宋"/>
          <w:bCs/>
          <w:color w:val="333333"/>
          <w:sz w:val="32"/>
          <w:szCs w:val="32"/>
        </w:rPr>
        <w:t>sh</w:t>
      </w:r>
      <w:r>
        <w:rPr>
          <w:rFonts w:ascii="仿宋" w:hAnsi="仿宋" w:eastAsia="仿宋"/>
          <w:bCs/>
          <w:color w:val="333333"/>
          <w:sz w:val="32"/>
          <w:szCs w:val="32"/>
        </w:rPr>
        <w:t>an.gov.cn）下载。如对本报告有任何疑问，请与</w:t>
      </w:r>
      <w:r>
        <w:rPr>
          <w:rFonts w:hint="eastAsia" w:ascii="仿宋" w:hAnsi="仿宋" w:eastAsia="仿宋"/>
          <w:bCs/>
          <w:color w:val="333333"/>
          <w:sz w:val="32"/>
          <w:szCs w:val="32"/>
        </w:rPr>
        <w:t>泰安市泰山区</w:t>
      </w:r>
      <w:r>
        <w:rPr>
          <w:rFonts w:hint="eastAsia" w:ascii="仿宋" w:hAnsi="仿宋" w:eastAsia="仿宋"/>
          <w:bCs/>
          <w:color w:val="333333"/>
          <w:sz w:val="32"/>
          <w:szCs w:val="32"/>
          <w:lang w:val="en-US" w:eastAsia="zh-CN"/>
        </w:rPr>
        <w:t>统计局</w:t>
      </w:r>
      <w:r>
        <w:rPr>
          <w:rFonts w:ascii="仿宋" w:hAnsi="仿宋" w:eastAsia="仿宋"/>
          <w:bCs/>
          <w:color w:val="333333"/>
          <w:sz w:val="32"/>
          <w:szCs w:val="32"/>
        </w:rPr>
        <w:t>联系（地址：泰安市泰山区东岳大街169号；邮编：271000 ；电话；0538-8260420；电子邮箱：tsqtjjbgs@ta.shandong.cn。）</w:t>
      </w:r>
    </w:p>
    <w:p>
      <w:pPr>
        <w:spacing w:line="600" w:lineRule="exact"/>
        <w:ind w:firstLine="643" w:firstLineChars="200"/>
        <w:rPr>
          <w:rFonts w:ascii="楷体_GB2312" w:hAnsi="仿宋" w:eastAsia="楷体_GB2312"/>
          <w:color w:val="000000"/>
          <w:kern w:val="0"/>
          <w:sz w:val="24"/>
        </w:rPr>
      </w:pPr>
      <w:r>
        <w:rPr>
          <w:rFonts w:ascii="仿宋_GB2312" w:eastAsia="仿宋_GB2312"/>
          <w:b/>
          <w:bCs/>
          <w:sz w:val="32"/>
          <w:szCs w:val="32"/>
        </w:rPr>
        <w:t>5.监督保障</w:t>
      </w:r>
      <w:r>
        <w:rPr>
          <w:rFonts w:hint="eastAsia" w:ascii="仿宋_GB2312" w:eastAsia="仿宋_GB2312"/>
          <w:b/>
          <w:bCs/>
          <w:sz w:val="32"/>
          <w:szCs w:val="32"/>
        </w:rPr>
        <w:t>。</w:t>
      </w:r>
      <w:r>
        <w:rPr>
          <w:rFonts w:hint="default" w:ascii="仿宋_GB2312" w:hAnsi="宋体" w:eastAsia="仿宋_GB2312" w:cs="仿宋_GB2312"/>
          <w:b w:val="0"/>
          <w:bCs w:val="0"/>
          <w:i w:val="0"/>
          <w:iCs w:val="0"/>
          <w:caps w:val="0"/>
          <w:color w:val="333333"/>
          <w:spacing w:val="0"/>
          <w:sz w:val="31"/>
          <w:szCs w:val="31"/>
        </w:rPr>
        <w:t>及时</w:t>
      </w:r>
      <w:r>
        <w:rPr>
          <w:rFonts w:hint="eastAsia" w:ascii="仿宋_GB2312" w:hAnsi="宋体" w:eastAsia="仿宋_GB2312" w:cs="仿宋_GB2312"/>
          <w:b w:val="0"/>
          <w:bCs w:val="0"/>
          <w:i w:val="0"/>
          <w:iCs w:val="0"/>
          <w:caps w:val="0"/>
          <w:color w:val="333333"/>
          <w:spacing w:val="0"/>
          <w:sz w:val="31"/>
          <w:szCs w:val="31"/>
          <w:lang w:val="en-US" w:eastAsia="zh-CN"/>
        </w:rPr>
        <w:t>公布</w:t>
      </w:r>
      <w:r>
        <w:rPr>
          <w:rFonts w:hint="default" w:ascii="仿宋_GB2312" w:hAnsi="宋体" w:eastAsia="仿宋_GB2312" w:cs="仿宋_GB2312"/>
          <w:b w:val="0"/>
          <w:bCs w:val="0"/>
          <w:i w:val="0"/>
          <w:iCs w:val="0"/>
          <w:caps w:val="0"/>
          <w:color w:val="333333"/>
          <w:spacing w:val="0"/>
          <w:sz w:val="31"/>
          <w:szCs w:val="31"/>
        </w:rPr>
        <w:t>局政务公开工作领导小组，强化人员力量配置。适时召开政务公开</w:t>
      </w:r>
      <w:r>
        <w:rPr>
          <w:rFonts w:hint="eastAsia" w:ascii="仿宋_GB2312" w:hAnsi="宋体" w:eastAsia="仿宋_GB2312" w:cs="仿宋_GB2312"/>
          <w:b w:val="0"/>
          <w:bCs w:val="0"/>
          <w:i w:val="0"/>
          <w:iCs w:val="0"/>
          <w:caps w:val="0"/>
          <w:color w:val="333333"/>
          <w:spacing w:val="0"/>
          <w:sz w:val="31"/>
          <w:szCs w:val="31"/>
          <w:lang w:val="en-US" w:eastAsia="zh-CN"/>
        </w:rPr>
        <w:t>有关</w:t>
      </w:r>
      <w:r>
        <w:rPr>
          <w:rFonts w:hint="default" w:ascii="仿宋_GB2312" w:hAnsi="宋体" w:eastAsia="仿宋_GB2312" w:cs="仿宋_GB2312"/>
          <w:b w:val="0"/>
          <w:bCs w:val="0"/>
          <w:i w:val="0"/>
          <w:iCs w:val="0"/>
          <w:caps w:val="0"/>
          <w:color w:val="333333"/>
          <w:spacing w:val="0"/>
          <w:sz w:val="31"/>
          <w:szCs w:val="31"/>
        </w:rPr>
        <w:t>会议，传达学习</w:t>
      </w:r>
      <w:r>
        <w:rPr>
          <w:rFonts w:hint="eastAsia" w:ascii="仿宋_GB2312" w:hAnsi="宋体" w:eastAsia="仿宋_GB2312" w:cs="仿宋_GB2312"/>
          <w:b w:val="0"/>
          <w:bCs w:val="0"/>
          <w:i w:val="0"/>
          <w:iCs w:val="0"/>
          <w:caps w:val="0"/>
          <w:color w:val="333333"/>
          <w:spacing w:val="0"/>
          <w:sz w:val="31"/>
          <w:szCs w:val="31"/>
          <w:lang w:val="en-US" w:eastAsia="zh-CN"/>
        </w:rPr>
        <w:t>各级</w:t>
      </w:r>
      <w:r>
        <w:rPr>
          <w:rFonts w:hint="default" w:ascii="仿宋_GB2312" w:hAnsi="宋体" w:eastAsia="仿宋_GB2312" w:cs="仿宋_GB2312"/>
          <w:b w:val="0"/>
          <w:bCs w:val="0"/>
          <w:i w:val="0"/>
          <w:iCs w:val="0"/>
          <w:caps w:val="0"/>
          <w:color w:val="333333"/>
          <w:spacing w:val="0"/>
          <w:sz w:val="31"/>
          <w:szCs w:val="31"/>
        </w:rPr>
        <w:t>政务公开办有关政府信息公开工作文件，研究部署全局政务公开工作</w:t>
      </w:r>
      <w:r>
        <w:rPr>
          <w:rFonts w:hint="eastAsia" w:ascii="仿宋_GB2312" w:hAnsi="宋体" w:eastAsia="仿宋_GB2312" w:cs="仿宋_GB2312"/>
          <w:b w:val="0"/>
          <w:bCs w:val="0"/>
          <w:i w:val="0"/>
          <w:iCs w:val="0"/>
          <w:caps w:val="0"/>
          <w:color w:val="333333"/>
          <w:spacing w:val="0"/>
          <w:sz w:val="31"/>
          <w:szCs w:val="31"/>
        </w:rPr>
        <w:t>。2021年，未发生因不履行政务公开义务而发生的责任追究情况。</w:t>
      </w:r>
    </w:p>
    <w:p>
      <w:pPr>
        <w:pStyle w:val="6"/>
        <w:spacing w:before="0" w:beforeAutospacing="0" w:after="0" w:afterAutospacing="0" w:line="60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rPr>
        <w:t>二、</w:t>
      </w:r>
      <w:r>
        <w:rPr>
          <w:rFonts w:ascii="黑体" w:hAnsi="黑体" w:eastAsia="黑体"/>
          <w:color w:val="333333"/>
          <w:sz w:val="32"/>
          <w:szCs w:val="32"/>
        </w:rPr>
        <w:t>主动公开政府信息情况</w:t>
      </w:r>
    </w:p>
    <w:p>
      <w:pPr>
        <w:rPr>
          <w:rFonts w:ascii="黑体" w:hAnsi="黑体" w:eastAsia="黑体"/>
          <w:sz w:val="32"/>
          <w:szCs w:val="32"/>
        </w:rPr>
      </w:pP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bl>
    <w:p>
      <w:pPr>
        <w:ind w:firstLine="640" w:firstLineChars="200"/>
        <w:rPr>
          <w:rFonts w:ascii="黑体" w:hAnsi="黑体" w:eastAsia="黑体"/>
          <w:color w:val="333333"/>
          <w:sz w:val="32"/>
          <w:szCs w:val="32"/>
        </w:rPr>
      </w:pPr>
      <w:r>
        <w:rPr>
          <w:rFonts w:hint="eastAsia" w:ascii="黑体" w:hAnsi="黑体" w:eastAsia="黑体"/>
          <w:color w:val="333333"/>
          <w:sz w:val="32"/>
          <w:szCs w:val="32"/>
        </w:rPr>
        <w:t>三、</w:t>
      </w:r>
      <w:r>
        <w:rPr>
          <w:rFonts w:ascii="黑体" w:hAnsi="黑体" w:eastAsia="黑体"/>
          <w:color w:val="333333"/>
          <w:sz w:val="32"/>
          <w:szCs w:val="32"/>
        </w:rPr>
        <w:t>收到和处理政府信息公开申请情况</w:t>
      </w:r>
    </w:p>
    <w:p>
      <w:pPr>
        <w:pStyle w:val="6"/>
        <w:spacing w:before="0" w:beforeAutospacing="0" w:after="0" w:afterAutospacing="0" w:line="600" w:lineRule="exact"/>
        <w:jc w:val="both"/>
        <w:rPr>
          <w:rFonts w:ascii="黑体" w:hAnsi="黑体" w:eastAsia="黑体"/>
          <w:color w:val="333333"/>
          <w:sz w:val="32"/>
          <w:szCs w:val="32"/>
        </w:rPr>
      </w:pP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7"/>
        <w:gridCol w:w="1614"/>
        <w:gridCol w:w="2772"/>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rPr>
                <w:rFonts w:ascii="黑体" w:hAnsi="黑体" w:eastAsia="黑体"/>
                <w:szCs w:val="21"/>
              </w:rPr>
            </w:pPr>
            <w:r>
              <w:rPr>
                <w:rFonts w:hint="default" w:ascii="黑体" w:hAnsi="黑体" w:eastAsia="黑体"/>
                <w:szCs w:val="21"/>
              </w:rPr>
              <w:t>一、本年新收政府信息公开申请数量</w:t>
            </w:r>
          </w:p>
        </w:tc>
        <w:tc>
          <w:tcPr>
            <w:tcW w:w="829" w:type="dxa"/>
            <w:shd w:val="clear" w:color="auto" w:fill="auto"/>
            <w:tcMar>
              <w:left w:w="108" w:type="dxa"/>
              <w:right w:w="108" w:type="dxa"/>
            </w:tcMar>
            <w:vAlign w:val="center"/>
          </w:tcPr>
          <w:p>
            <w:pP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rPr>
                <w:rFonts w:ascii="黑体" w:hAnsi="黑体" w:eastAsia="黑体"/>
                <w:szCs w:val="21"/>
              </w:rPr>
            </w:pPr>
            <w:r>
              <w:rPr>
                <w:rFonts w:hint="default" w:ascii="黑体" w:hAnsi="黑体" w:eastAsia="黑体"/>
                <w:szCs w:val="21"/>
              </w:rPr>
              <w:t>二、上年结转政府信息公开申请数量</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7" w:type="dxa"/>
            <w:vMerge w:val="restart"/>
            <w:shd w:val="clear" w:color="auto" w:fill="auto"/>
            <w:tcMar>
              <w:left w:w="108" w:type="dxa"/>
              <w:right w:w="108" w:type="dxa"/>
            </w:tcMar>
            <w:vAlign w:val="center"/>
          </w:tcPr>
          <w:p>
            <w:pPr>
              <w:rPr>
                <w:rFonts w:ascii="黑体" w:hAnsi="黑体" w:eastAsia="黑体"/>
                <w:szCs w:val="21"/>
              </w:rPr>
            </w:pPr>
            <w:r>
              <w:rPr>
                <w:rFonts w:hint="default" w:ascii="黑体" w:hAnsi="黑体" w:eastAsia="黑体"/>
                <w:szCs w:val="21"/>
              </w:rPr>
              <w:t>三、本年度办理结果</w:t>
            </w:r>
          </w:p>
        </w:tc>
        <w:tc>
          <w:tcPr>
            <w:tcW w:w="4386" w:type="dxa"/>
            <w:gridSpan w:val="2"/>
            <w:shd w:val="clear" w:color="auto" w:fill="auto"/>
            <w:tcMar>
              <w:left w:w="108" w:type="dxa"/>
              <w:right w:w="108" w:type="dxa"/>
            </w:tcMar>
            <w:vAlign w:val="center"/>
          </w:tcPr>
          <w:p>
            <w:pPr>
              <w:rPr>
                <w:rFonts w:ascii="黑体" w:hAnsi="黑体" w:eastAsia="黑体"/>
                <w:szCs w:val="21"/>
              </w:rPr>
            </w:pPr>
            <w:r>
              <w:rPr>
                <w:rFonts w:hint="default" w:ascii="黑体" w:hAnsi="黑体" w:eastAsia="黑体"/>
                <w:szCs w:val="21"/>
              </w:rPr>
              <w:t>（一）予以公开</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4386" w:type="dxa"/>
            <w:gridSpan w:val="2"/>
            <w:shd w:val="clear" w:color="auto" w:fill="auto"/>
            <w:tcMar>
              <w:left w:w="108" w:type="dxa"/>
              <w:right w:w="108" w:type="dxa"/>
            </w:tcMar>
            <w:vAlign w:val="center"/>
          </w:tcPr>
          <w:p>
            <w:pPr>
              <w:rPr>
                <w:rFonts w:ascii="黑体" w:hAnsi="黑体" w:eastAsia="黑体"/>
                <w:szCs w:val="21"/>
              </w:rPr>
            </w:pPr>
            <w:r>
              <w:rPr>
                <w:rFonts w:hint="default" w:ascii="黑体" w:hAnsi="黑体" w:eastAsia="黑体"/>
                <w:szCs w:val="21"/>
              </w:rPr>
              <w:t>（二）部分公开（区分处理的，只计这一情形，不计其他情形）</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restart"/>
            <w:shd w:val="clear" w:color="auto" w:fill="auto"/>
            <w:tcMar>
              <w:left w:w="108" w:type="dxa"/>
              <w:right w:w="108" w:type="dxa"/>
            </w:tcMar>
            <w:vAlign w:val="center"/>
          </w:tcPr>
          <w:p>
            <w:pPr>
              <w:rPr>
                <w:rFonts w:ascii="黑体" w:hAnsi="黑体" w:eastAsia="黑体"/>
                <w:szCs w:val="21"/>
              </w:rPr>
            </w:pPr>
            <w:r>
              <w:rPr>
                <w:rFonts w:hint="default" w:ascii="黑体" w:hAnsi="黑体" w:eastAsia="黑体"/>
                <w:szCs w:val="21"/>
              </w:rPr>
              <w:t>（三）不予公开</w:t>
            </w: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1.属于国家秘密</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2.其他法律行政法规禁止公开</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3.危及“三安全一稳定”</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4.保护第三方合法权益</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5.属于三类内部事务信息</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6.属于四类过程性信息</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7.属于行政执法案卷</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8.属于行政查询事项</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restart"/>
            <w:shd w:val="clear" w:color="auto" w:fill="auto"/>
            <w:tcMar>
              <w:left w:w="108" w:type="dxa"/>
              <w:right w:w="108" w:type="dxa"/>
            </w:tcMar>
            <w:vAlign w:val="center"/>
          </w:tcPr>
          <w:p>
            <w:pPr>
              <w:rPr>
                <w:rFonts w:ascii="黑体" w:hAnsi="黑体" w:eastAsia="黑体"/>
                <w:szCs w:val="21"/>
              </w:rPr>
            </w:pPr>
            <w:r>
              <w:rPr>
                <w:rFonts w:hint="default" w:ascii="黑体" w:hAnsi="黑体" w:eastAsia="黑体"/>
                <w:szCs w:val="21"/>
              </w:rPr>
              <w:t>（四）无法提供</w:t>
            </w: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1.本机关不掌握相关政府信息</w:t>
            </w:r>
          </w:p>
        </w:tc>
        <w:tc>
          <w:tcPr>
            <w:tcW w:w="829" w:type="dxa"/>
            <w:shd w:val="clear" w:color="auto" w:fill="auto"/>
            <w:tcMar>
              <w:left w:w="108" w:type="dxa"/>
              <w:right w:w="108" w:type="dxa"/>
            </w:tcMar>
            <w:vAlign w:val="center"/>
          </w:tcPr>
          <w:p>
            <w:pPr>
              <w:rPr>
                <w:rFonts w:hint="eastAsia" w:ascii="仿宋_GB2312" w:hAnsi="Times New Roman" w:eastAsia="仿宋_GB2312"/>
                <w:szCs w:val="21"/>
                <w:lang w:eastAsia="zh-CN"/>
              </w:rPr>
            </w:pPr>
            <w:r>
              <w:rPr>
                <w:rFonts w:hint="eastAsia" w:ascii="黑体" w:hAnsi="黑体" w:eastAsia="黑体"/>
                <w:szCs w:val="21"/>
                <w:lang w:val="en-US" w:eastAsia="zh-CN"/>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2.没有现成信息需要另行制作</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3.补正后申请内容仍不明确</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restart"/>
            <w:shd w:val="clear" w:color="auto" w:fill="auto"/>
            <w:tcMar>
              <w:left w:w="108" w:type="dxa"/>
              <w:right w:w="108" w:type="dxa"/>
            </w:tcMar>
            <w:vAlign w:val="center"/>
          </w:tcPr>
          <w:p>
            <w:pPr>
              <w:rPr>
                <w:rFonts w:ascii="黑体" w:hAnsi="黑体" w:eastAsia="黑体"/>
                <w:szCs w:val="21"/>
              </w:rPr>
            </w:pPr>
            <w:r>
              <w:rPr>
                <w:rFonts w:hint="default" w:ascii="黑体" w:hAnsi="黑体" w:eastAsia="黑体"/>
                <w:szCs w:val="21"/>
              </w:rPr>
              <w:t>（五）不予处理</w:t>
            </w: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1.信访举报投诉类申请</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2.重复申请</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3.要求提供公开出版物</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4.无正当理由大量反复申请</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5.要求行政机关确认或重新</w:t>
            </w:r>
          </w:p>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出具已获取信息</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restart"/>
            <w:shd w:val="clear" w:color="auto" w:fill="auto"/>
            <w:tcMar>
              <w:left w:w="108" w:type="dxa"/>
              <w:right w:w="108" w:type="dxa"/>
            </w:tcMar>
            <w:vAlign w:val="center"/>
          </w:tcPr>
          <w:p>
            <w:pPr>
              <w:rPr>
                <w:rFonts w:ascii="黑体" w:hAnsi="黑体" w:eastAsia="黑体"/>
                <w:kern w:val="0"/>
                <w:szCs w:val="21"/>
              </w:rPr>
            </w:pPr>
            <w:r>
              <w:rPr>
                <w:rFonts w:hint="default" w:ascii="黑体" w:hAnsi="黑体" w:eastAsia="黑体"/>
                <w:szCs w:val="21"/>
              </w:rPr>
              <w:t>（六）其他处理</w:t>
            </w: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1.申请人无正当理由逾期不补正、行政机关不再处理其政府信息公开申请</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kern w:val="0"/>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1614" w:type="dxa"/>
            <w:vMerge w:val="continue"/>
            <w:shd w:val="clear" w:color="auto" w:fill="auto"/>
            <w:tcMar>
              <w:left w:w="108" w:type="dxa"/>
              <w:right w:w="108" w:type="dxa"/>
            </w:tcMar>
            <w:vAlign w:val="center"/>
          </w:tcPr>
          <w:p>
            <w:pPr>
              <w:rPr>
                <w:rFonts w:ascii="黑体" w:hAnsi="黑体" w:eastAsia="黑体"/>
                <w:kern w:val="0"/>
                <w:szCs w:val="21"/>
              </w:rPr>
            </w:pPr>
          </w:p>
        </w:tc>
        <w:tc>
          <w:tcPr>
            <w:tcW w:w="2772" w:type="dxa"/>
            <w:shd w:val="clear" w:color="auto" w:fill="auto"/>
            <w:tcMar>
              <w:left w:w="108" w:type="dxa"/>
              <w:right w:w="108" w:type="dxa"/>
            </w:tcMar>
            <w:vAlign w:val="center"/>
          </w:tcPr>
          <w:p>
            <w:pPr>
              <w:widowControl/>
              <w:jc w:val="left"/>
              <w:rPr>
                <w:rFonts w:hint="eastAsia" w:ascii="仿宋_GB2312" w:hAnsi="宋体" w:eastAsia="仿宋_GB2312" w:cs="宋体"/>
                <w:color w:val="000000"/>
                <w:kern w:val="0"/>
                <w:szCs w:val="21"/>
              </w:rPr>
            </w:pPr>
            <w:r>
              <w:rPr>
                <w:rFonts w:hint="default" w:ascii="仿宋_GB2312" w:hAnsi="宋体" w:eastAsia="仿宋_GB2312" w:cs="宋体"/>
                <w:color w:val="000000"/>
                <w:kern w:val="0"/>
                <w:szCs w:val="21"/>
              </w:rPr>
              <w:t>3.其他</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7" w:type="dxa"/>
            <w:vMerge w:val="continue"/>
            <w:shd w:val="clear" w:color="auto" w:fill="auto"/>
            <w:tcMar>
              <w:left w:w="108" w:type="dxa"/>
              <w:right w:w="108" w:type="dxa"/>
            </w:tcMar>
            <w:vAlign w:val="center"/>
          </w:tcPr>
          <w:p>
            <w:pPr>
              <w:rPr>
                <w:rFonts w:ascii="黑体" w:hAnsi="黑体" w:eastAsia="黑体"/>
                <w:szCs w:val="21"/>
              </w:rPr>
            </w:pPr>
          </w:p>
        </w:tc>
        <w:tc>
          <w:tcPr>
            <w:tcW w:w="4386" w:type="dxa"/>
            <w:gridSpan w:val="2"/>
            <w:shd w:val="clear" w:color="auto" w:fill="auto"/>
            <w:tcMar>
              <w:left w:w="108" w:type="dxa"/>
              <w:right w:w="108" w:type="dxa"/>
            </w:tcMar>
            <w:vAlign w:val="center"/>
          </w:tcPr>
          <w:p>
            <w:pPr>
              <w:rPr>
                <w:rFonts w:ascii="黑体" w:hAnsi="黑体" w:eastAsia="黑体"/>
                <w:kern w:val="0"/>
                <w:szCs w:val="21"/>
              </w:rPr>
            </w:pPr>
            <w:r>
              <w:rPr>
                <w:rFonts w:hint="default" w:ascii="黑体" w:hAnsi="黑体" w:eastAsia="黑体"/>
                <w:szCs w:val="21"/>
              </w:rPr>
              <w:t>（七）总计</w:t>
            </w:r>
          </w:p>
        </w:tc>
        <w:tc>
          <w:tcPr>
            <w:tcW w:w="829"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rPr>
                <w:rFonts w:ascii="黑体" w:hAnsi="黑体" w:eastAsia="黑体"/>
                <w:kern w:val="0"/>
                <w:szCs w:val="21"/>
              </w:rPr>
            </w:pPr>
            <w:r>
              <w:rPr>
                <w:rFonts w:hint="default" w:ascii="黑体" w:hAnsi="黑体" w:eastAsia="黑体"/>
                <w:szCs w:val="21"/>
              </w:rPr>
              <w:t>四、结转下年度继续办理</w:t>
            </w:r>
          </w:p>
        </w:tc>
        <w:tc>
          <w:tcPr>
            <w:tcW w:w="829"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3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708"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567"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c>
          <w:tcPr>
            <w:tcW w:w="851" w:type="dxa"/>
            <w:shd w:val="clear" w:color="auto" w:fill="auto"/>
            <w:tcMar>
              <w:left w:w="108" w:type="dxa"/>
              <w:right w:w="108" w:type="dxa"/>
            </w:tcMar>
            <w:vAlign w:val="center"/>
          </w:tcPr>
          <w:p>
            <w:pPr>
              <w:rPr>
                <w:rFonts w:ascii="仿宋_GB2312" w:hAnsi="Times New Roman" w:eastAsia="仿宋_GB2312"/>
                <w:szCs w:val="21"/>
              </w:rPr>
            </w:pPr>
            <w:r>
              <w:rPr>
                <w:rFonts w:hint="default" w:ascii="黑体" w:hAnsi="黑体" w:eastAsia="黑体"/>
                <w:szCs w:val="21"/>
              </w:rPr>
              <w:t>0</w:t>
            </w:r>
          </w:p>
        </w:tc>
      </w:tr>
    </w:tbl>
    <w:p>
      <w:pPr>
        <w:pStyle w:val="6"/>
        <w:spacing w:before="0" w:beforeAutospacing="0" w:after="0" w:afterAutospacing="0" w:line="600" w:lineRule="exact"/>
        <w:ind w:firstLine="640" w:firstLineChars="200"/>
        <w:jc w:val="both"/>
        <w:rPr>
          <w:rFonts w:ascii="黑体" w:hAnsi="黑体" w:eastAsia="黑体"/>
          <w:color w:val="333333"/>
          <w:sz w:val="32"/>
          <w:szCs w:val="32"/>
        </w:rPr>
      </w:pPr>
      <w:r>
        <w:rPr>
          <w:rFonts w:ascii="黑体" w:hAnsi="黑体" w:eastAsia="黑体"/>
          <w:color w:val="333333"/>
          <w:sz w:val="32"/>
          <w:szCs w:val="32"/>
        </w:rPr>
        <w:t>四、政府信息公开行政复议、行政诉讼情况</w:t>
      </w:r>
    </w:p>
    <w:p>
      <w:pPr>
        <w:pStyle w:val="6"/>
        <w:spacing w:before="0" w:beforeAutospacing="0" w:after="0" w:afterAutospacing="0" w:line="600" w:lineRule="exact"/>
        <w:ind w:firstLine="480" w:firstLineChars="200"/>
        <w:jc w:val="both"/>
        <w:rPr>
          <w:rFonts w:ascii="Times New Roman" w:hAnsi="Times New Roman"/>
        </w:rPr>
      </w:pP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0" w:name="_Hlk67039688"/>
            <w:r>
              <w:rPr>
                <w:rFonts w:ascii="黑体" w:hAnsi="黑体" w:eastAsia="黑体"/>
                <w:kern w:val="0"/>
                <w:sz w:val="20"/>
                <w:szCs w:val="20"/>
              </w:rPr>
              <w:t>复议后起诉</w:t>
            </w:r>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pStyle w:val="6"/>
        <w:spacing w:before="0" w:beforeAutospacing="0" w:after="0" w:afterAutospacing="0" w:line="60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rPr>
        <w:t>五、</w:t>
      </w:r>
      <w:r>
        <w:rPr>
          <w:rFonts w:ascii="黑体" w:hAnsi="黑体" w:eastAsia="黑体"/>
          <w:color w:val="333333"/>
          <w:sz w:val="32"/>
          <w:szCs w:val="32"/>
        </w:rPr>
        <w:t>存在的主要问题及改进情况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仿宋_GB2312" w:hAnsi="微软雅黑" w:eastAsia="仿宋_GB2312" w:cs="宋体"/>
          <w:color w:val="000000"/>
          <w:kern w:val="0"/>
          <w:sz w:val="32"/>
          <w:szCs w:val="32"/>
          <w:shd w:val="clear" w:color="auto" w:fill="FFFFFF"/>
        </w:rPr>
      </w:pPr>
      <w:r>
        <w:rPr>
          <w:rFonts w:hint="default" w:ascii="仿宋_GB2312" w:eastAsia="仿宋_GB2312" w:cs="仿宋_GB2312"/>
          <w:color w:val="333333"/>
          <w:sz w:val="31"/>
          <w:szCs w:val="31"/>
        </w:rPr>
        <w:t>2021年，</w:t>
      </w:r>
      <w:r>
        <w:rPr>
          <w:rFonts w:hint="eastAsia" w:ascii="仿宋_GB2312" w:eastAsia="仿宋_GB2312" w:cs="仿宋_GB2312"/>
          <w:color w:val="333333"/>
          <w:sz w:val="31"/>
          <w:szCs w:val="31"/>
          <w:lang w:val="en-US" w:eastAsia="zh-CN"/>
        </w:rPr>
        <w:t>我</w:t>
      </w:r>
      <w:r>
        <w:rPr>
          <w:rFonts w:hint="default" w:ascii="仿宋_GB2312" w:eastAsia="仿宋_GB2312" w:cs="仿宋_GB2312"/>
          <w:color w:val="333333"/>
          <w:sz w:val="31"/>
          <w:szCs w:val="31"/>
        </w:rPr>
        <w:t>局政府信息公开工作取得了新成效，但与上级要求和公众需求相比，还存在很多差距和不足：一是信息公开基础工作不够扎实，个别信息发布存在不规范现象；</w:t>
      </w:r>
      <w:r>
        <w:rPr>
          <w:rFonts w:hint="eastAsia" w:ascii="仿宋_GB2312" w:eastAsia="仿宋_GB2312" w:cs="仿宋_GB2312"/>
          <w:color w:val="333333"/>
          <w:sz w:val="31"/>
          <w:szCs w:val="31"/>
        </w:rPr>
        <w:t>二是个别栏目依然存在信息发布时效性延后现象</w:t>
      </w:r>
      <w:r>
        <w:rPr>
          <w:rFonts w:hint="eastAsia" w:ascii="仿宋_GB2312" w:eastAsia="仿宋_GB2312" w:cs="仿宋_GB2312"/>
          <w:color w:val="333333"/>
          <w:sz w:val="31"/>
          <w:szCs w:val="31"/>
          <w:lang w:eastAsia="zh-CN"/>
        </w:rPr>
        <w:t>；</w:t>
      </w:r>
      <w:r>
        <w:rPr>
          <w:rFonts w:hint="eastAsia" w:ascii="仿宋_GB2312" w:hAnsi="微软雅黑" w:eastAsia="仿宋_GB2312" w:cs="宋体"/>
          <w:color w:val="000000"/>
          <w:kern w:val="0"/>
          <w:sz w:val="32"/>
          <w:szCs w:val="32"/>
          <w:shd w:val="clear" w:color="auto" w:fill="FFFFFF"/>
        </w:rPr>
        <w:t>三是信息发布形式单一，多种角度发布信息的水平有待进一步提高。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仿宋_GB2312" w:hAnsi="微软雅黑" w:eastAsia="仿宋_GB2312" w:cs="宋体"/>
          <w:color w:val="000000"/>
          <w:kern w:val="0"/>
          <w:sz w:val="32"/>
          <w:szCs w:val="32"/>
          <w:shd w:val="clear" w:color="auto" w:fill="FFFFFF"/>
        </w:rPr>
      </w:pPr>
      <w:r>
        <w:rPr>
          <w:rFonts w:ascii="仿宋_GB2312" w:hAnsi="微软雅黑" w:eastAsia="仿宋_GB2312" w:cs="仿宋_GB2312"/>
          <w:i w:val="0"/>
          <w:iCs w:val="0"/>
          <w:caps w:val="0"/>
          <w:color w:val="333333"/>
          <w:spacing w:val="0"/>
          <w:sz w:val="31"/>
          <w:szCs w:val="31"/>
        </w:rPr>
        <w:t>202</w:t>
      </w:r>
      <w:r>
        <w:rPr>
          <w:rFonts w:hint="default" w:ascii="仿宋_GB2312" w:hAnsi="微软雅黑" w:eastAsia="仿宋_GB2312" w:cs="仿宋_GB2312"/>
          <w:i w:val="0"/>
          <w:iCs w:val="0"/>
          <w:caps w:val="0"/>
          <w:color w:val="333333"/>
          <w:spacing w:val="0"/>
          <w:sz w:val="31"/>
          <w:szCs w:val="31"/>
        </w:rPr>
        <w:t>2年，区统计局将进一步加强对政府信息公开工作的组织领导，重点做好以下几方面工作：一是推进信息公开建设规范化标准化。坚持</w:t>
      </w:r>
      <w:r>
        <w:rPr>
          <w:rFonts w:hint="eastAsia" w:ascii="仿宋_GB2312" w:hAnsi="微软雅黑" w:eastAsia="仿宋_GB2312" w:cs="仿宋_GB2312"/>
          <w:i w:val="0"/>
          <w:iCs w:val="0"/>
          <w:caps w:val="0"/>
          <w:color w:val="333333"/>
          <w:spacing w:val="0"/>
          <w:sz w:val="31"/>
          <w:szCs w:val="31"/>
          <w:lang w:eastAsia="zh-CN"/>
        </w:rPr>
        <w:t>“</w:t>
      </w:r>
      <w:r>
        <w:rPr>
          <w:rFonts w:hint="default" w:ascii="仿宋_GB2312" w:hAnsi="微软雅黑" w:eastAsia="仿宋_GB2312" w:cs="仿宋_GB2312"/>
          <w:i w:val="0"/>
          <w:iCs w:val="0"/>
          <w:caps w:val="0"/>
          <w:color w:val="333333"/>
          <w:spacing w:val="0"/>
          <w:sz w:val="31"/>
          <w:szCs w:val="31"/>
        </w:rPr>
        <w:t>以公开为常态，不公开为例外</w:t>
      </w:r>
      <w:r>
        <w:rPr>
          <w:rFonts w:hint="eastAsia" w:ascii="仿宋_GB2312" w:hAnsi="微软雅黑" w:eastAsia="仿宋_GB2312" w:cs="仿宋_GB2312"/>
          <w:i w:val="0"/>
          <w:iCs w:val="0"/>
          <w:caps w:val="0"/>
          <w:color w:val="333333"/>
          <w:spacing w:val="0"/>
          <w:sz w:val="31"/>
          <w:szCs w:val="31"/>
          <w:lang w:eastAsia="zh-CN"/>
        </w:rPr>
        <w:t>”</w:t>
      </w:r>
      <w:r>
        <w:rPr>
          <w:rFonts w:hint="default" w:ascii="仿宋_GB2312" w:hAnsi="微软雅黑" w:eastAsia="仿宋_GB2312" w:cs="仿宋_GB2312"/>
          <w:i w:val="0"/>
          <w:iCs w:val="0"/>
          <w:caps w:val="0"/>
          <w:color w:val="333333"/>
          <w:spacing w:val="0"/>
          <w:sz w:val="31"/>
          <w:szCs w:val="31"/>
        </w:rPr>
        <w:t>原则，加强政府信息管理，推进信息公开标准化规范化，提高信息公开工作的质量和水平</w:t>
      </w:r>
      <w:r>
        <w:rPr>
          <w:rFonts w:hint="eastAsia" w:ascii="仿宋_GB2312" w:hAnsi="微软雅黑" w:eastAsia="仿宋_GB2312" w:cs="仿宋_GB2312"/>
          <w:i w:val="0"/>
          <w:iCs w:val="0"/>
          <w:caps w:val="0"/>
          <w:color w:val="333333"/>
          <w:spacing w:val="0"/>
          <w:sz w:val="31"/>
          <w:szCs w:val="31"/>
          <w:lang w:eastAsia="zh-CN"/>
        </w:rPr>
        <w:t>；</w:t>
      </w:r>
      <w:r>
        <w:rPr>
          <w:rFonts w:hint="eastAsia" w:ascii="仿宋_GB2312" w:hAnsi="微软雅黑" w:eastAsia="仿宋_GB2312" w:cs="仿宋_GB2312"/>
          <w:i w:val="0"/>
          <w:iCs w:val="0"/>
          <w:caps w:val="0"/>
          <w:color w:val="333333"/>
          <w:spacing w:val="0"/>
          <w:sz w:val="31"/>
          <w:szCs w:val="31"/>
        </w:rPr>
        <w:t>二是加强相关信息的收集和上报工作</w:t>
      </w:r>
      <w:r>
        <w:rPr>
          <w:rFonts w:hint="eastAsia" w:ascii="仿宋_GB2312" w:hAnsi="微软雅黑" w:eastAsia="仿宋_GB2312" w:cs="仿宋_GB2312"/>
          <w:i w:val="0"/>
          <w:iCs w:val="0"/>
          <w:caps w:val="0"/>
          <w:color w:val="333333"/>
          <w:spacing w:val="0"/>
          <w:sz w:val="31"/>
          <w:szCs w:val="31"/>
          <w:lang w:eastAsia="zh-CN"/>
        </w:rPr>
        <w:t>。</w:t>
      </w:r>
      <w:r>
        <w:rPr>
          <w:rFonts w:hint="eastAsia" w:ascii="仿宋_GB2312" w:hAnsi="微软雅黑" w:eastAsia="仿宋_GB2312" w:cs="仿宋_GB2312"/>
          <w:i w:val="0"/>
          <w:iCs w:val="0"/>
          <w:caps w:val="0"/>
          <w:color w:val="333333"/>
          <w:spacing w:val="0"/>
          <w:sz w:val="31"/>
          <w:szCs w:val="31"/>
        </w:rPr>
        <w:t>及时上传、更新政府信息，增加信息量，提高信息更新速度</w:t>
      </w:r>
      <w:r>
        <w:rPr>
          <w:rFonts w:hint="eastAsia" w:ascii="仿宋_GB2312" w:hAnsi="微软雅黑" w:eastAsia="仿宋_GB2312" w:cs="仿宋_GB2312"/>
          <w:i w:val="0"/>
          <w:iCs w:val="0"/>
          <w:caps w:val="0"/>
          <w:color w:val="333333"/>
          <w:spacing w:val="0"/>
          <w:sz w:val="31"/>
          <w:szCs w:val="31"/>
          <w:lang w:eastAsia="zh-CN"/>
        </w:rPr>
        <w:t>；</w:t>
      </w:r>
      <w:r>
        <w:rPr>
          <w:rFonts w:hint="default" w:ascii="仿宋_GB2312" w:hAnsi="微软雅黑" w:eastAsia="仿宋_GB2312" w:cs="仿宋_GB2312"/>
          <w:i w:val="0"/>
          <w:iCs w:val="0"/>
          <w:caps w:val="0"/>
          <w:color w:val="333333"/>
          <w:spacing w:val="0"/>
          <w:sz w:val="31"/>
          <w:szCs w:val="31"/>
        </w:rPr>
        <w:t>三是加强</w:t>
      </w:r>
      <w:r>
        <w:rPr>
          <w:rFonts w:hint="eastAsia" w:ascii="仿宋_GB2312" w:hAnsi="微软雅黑" w:eastAsia="仿宋_GB2312" w:cs="仿宋_GB2312"/>
          <w:i w:val="0"/>
          <w:iCs w:val="0"/>
          <w:caps w:val="0"/>
          <w:color w:val="333333"/>
          <w:spacing w:val="0"/>
          <w:sz w:val="31"/>
          <w:szCs w:val="31"/>
          <w:lang w:val="en-US" w:eastAsia="zh-CN"/>
        </w:rPr>
        <w:t>数据</w:t>
      </w:r>
      <w:r>
        <w:rPr>
          <w:rFonts w:hint="default" w:ascii="仿宋_GB2312" w:hAnsi="微软雅黑" w:eastAsia="仿宋_GB2312" w:cs="仿宋_GB2312"/>
          <w:i w:val="0"/>
          <w:iCs w:val="0"/>
          <w:caps w:val="0"/>
          <w:color w:val="333333"/>
          <w:spacing w:val="0"/>
          <w:sz w:val="31"/>
          <w:szCs w:val="31"/>
        </w:rPr>
        <w:t>解读回应</w:t>
      </w:r>
      <w:r>
        <w:rPr>
          <w:rFonts w:hint="eastAsia" w:ascii="仿宋_GB2312" w:hAnsi="微软雅黑" w:eastAsia="仿宋_GB2312" w:cs="仿宋_GB2312"/>
          <w:i w:val="0"/>
          <w:iCs w:val="0"/>
          <w:caps w:val="0"/>
          <w:color w:val="333333"/>
          <w:spacing w:val="0"/>
          <w:sz w:val="31"/>
          <w:szCs w:val="31"/>
          <w:lang w:eastAsia="zh-CN"/>
        </w:rPr>
        <w:t>。</w:t>
      </w:r>
      <w:r>
        <w:rPr>
          <w:rFonts w:hint="default" w:ascii="仿宋_GB2312" w:hAnsi="微软雅黑" w:eastAsia="仿宋_GB2312" w:cs="仿宋_GB2312"/>
          <w:i w:val="0"/>
          <w:iCs w:val="0"/>
          <w:caps w:val="0"/>
          <w:color w:val="333333"/>
          <w:spacing w:val="0"/>
          <w:sz w:val="31"/>
          <w:szCs w:val="31"/>
        </w:rPr>
        <w:t>及时解疑释惑，帮助社会各界科学认识统计，准确判断形势，更好地发挥稳定和引导预期的作用。</w:t>
      </w:r>
    </w:p>
    <w:p>
      <w:pPr>
        <w:pStyle w:val="6"/>
        <w:spacing w:before="0" w:beforeAutospacing="0" w:after="0" w:afterAutospacing="0" w:line="60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rPr>
        <w:t>六、</w:t>
      </w:r>
      <w:r>
        <w:rPr>
          <w:rFonts w:ascii="黑体" w:hAnsi="黑体" w:eastAsia="黑体"/>
          <w:color w:val="333333"/>
          <w:sz w:val="32"/>
          <w:szCs w:val="32"/>
        </w:rPr>
        <w:t>其他需要报告的事项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default" w:ascii="仿宋_GB2312" w:hAnsi="微软雅黑" w:eastAsia="仿宋_GB2312" w:cs="仿宋_GB2312"/>
          <w:i w:val="0"/>
          <w:iCs w:val="0"/>
          <w:caps w:val="0"/>
          <w:color w:val="333333"/>
          <w:spacing w:val="0"/>
          <w:sz w:val="31"/>
          <w:szCs w:val="31"/>
        </w:rPr>
      </w:pPr>
      <w:r>
        <w:rPr>
          <w:rFonts w:hint="default" w:ascii="仿宋_GB2312" w:hAnsi="微软雅黑" w:eastAsia="仿宋_GB2312" w:cs="仿宋_GB2312"/>
          <w:i w:val="0"/>
          <w:iCs w:val="0"/>
          <w:caps w:val="0"/>
          <w:color w:val="333333"/>
          <w:spacing w:val="0"/>
          <w:sz w:val="31"/>
          <w:szCs w:val="31"/>
        </w:rPr>
        <w:t>1.收取信息处理费的情况。依据《政府信息公开信息处理费管理办法》，我局本年度没有收取信息公开处理费。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default" w:ascii="仿宋_GB2312" w:hAnsi="微软雅黑" w:eastAsia="仿宋_GB2312" w:cs="仿宋_GB2312"/>
          <w:i w:val="0"/>
          <w:iCs w:val="0"/>
          <w:caps w:val="0"/>
          <w:color w:val="333333"/>
          <w:spacing w:val="0"/>
          <w:sz w:val="31"/>
          <w:szCs w:val="31"/>
        </w:rPr>
      </w:pPr>
      <w:r>
        <w:rPr>
          <w:rFonts w:hint="default" w:ascii="仿宋_GB2312" w:hAnsi="微软雅黑" w:eastAsia="仿宋_GB2312" w:cs="仿宋_GB2312"/>
          <w:i w:val="0"/>
          <w:iCs w:val="0"/>
          <w:caps w:val="0"/>
          <w:color w:val="333333"/>
          <w:spacing w:val="0"/>
          <w:sz w:val="31"/>
          <w:szCs w:val="31"/>
        </w:rPr>
        <w:t>2.落实上级年度政务公开工作要点情况。我局严格按照上级对政务公开工作的要求，加强政府网站建设，切实履行对政府门户网站的监管责任，强化网站信息内容保障，及时更新网站信息，加强信息公开专栏内容建设和信息发布审核</w:t>
      </w:r>
      <w:r>
        <w:rPr>
          <w:rFonts w:hint="eastAsia" w:ascii="仿宋_GB2312" w:hAnsi="微软雅黑" w:eastAsia="仿宋_GB2312" w:cs="仿宋_GB2312"/>
          <w:i w:val="0"/>
          <w:iCs w:val="0"/>
          <w:caps w:val="0"/>
          <w:color w:val="333333"/>
          <w:spacing w:val="0"/>
          <w:sz w:val="31"/>
          <w:szCs w:val="31"/>
          <w:lang w:eastAsia="zh-CN"/>
        </w:rPr>
        <w:t>，</w:t>
      </w:r>
      <w:r>
        <w:rPr>
          <w:rFonts w:hint="default" w:ascii="仿宋_GB2312" w:hAnsi="微软雅黑" w:eastAsia="仿宋_GB2312" w:cs="仿宋_GB2312"/>
          <w:i w:val="0"/>
          <w:iCs w:val="0"/>
          <w:caps w:val="0"/>
          <w:color w:val="333333"/>
          <w:spacing w:val="0"/>
          <w:sz w:val="31"/>
          <w:szCs w:val="31"/>
        </w:rPr>
        <w:t>积极参加政务公开培训活动，提高政务公开工作的能力和水平。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default" w:ascii="仿宋_GB2312" w:hAnsi="微软雅黑" w:eastAsia="仿宋_GB2312" w:cs="仿宋_GB2312"/>
          <w:i w:val="0"/>
          <w:iCs w:val="0"/>
          <w:caps w:val="0"/>
          <w:color w:val="333333"/>
          <w:spacing w:val="0"/>
          <w:sz w:val="31"/>
          <w:szCs w:val="31"/>
        </w:rPr>
      </w:pPr>
      <w:r>
        <w:rPr>
          <w:rFonts w:hint="default" w:ascii="仿宋_GB2312" w:hAnsi="微软雅黑" w:eastAsia="仿宋_GB2312" w:cs="仿宋_GB2312"/>
          <w:i w:val="0"/>
          <w:iCs w:val="0"/>
          <w:caps w:val="0"/>
          <w:color w:val="333333"/>
          <w:spacing w:val="0"/>
          <w:sz w:val="31"/>
          <w:szCs w:val="31"/>
        </w:rPr>
        <w:t>3.人大建议、政协提案办理情况。我局本年度没有人大建议、政协提案办理情况。</w:t>
      </w:r>
      <w:bookmarkStart w:id="1" w:name="_GoBack"/>
      <w:bookmarkEnd w:id="1"/>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仿宋_GB2312" w:hAnsi="微软雅黑" w:eastAsia="仿宋_GB2312" w:cs="仿宋_GB2312"/>
          <w:i w:val="0"/>
          <w:iCs w:val="0"/>
          <w:caps w:val="0"/>
          <w:color w:val="333333"/>
          <w:spacing w:val="0"/>
          <w:sz w:val="31"/>
          <w:szCs w:val="31"/>
          <w:lang w:val="en-US" w:eastAsia="zh-CN"/>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MzU5MmU2YjBhYWZiMGRmYmFjZTFkNTQ0YzFlYzIifQ=="/>
  </w:docVars>
  <w:rsids>
    <w:rsidRoot w:val="009036FB"/>
    <w:rsid w:val="000A1FB2"/>
    <w:rsid w:val="000A3CEB"/>
    <w:rsid w:val="000E5A8C"/>
    <w:rsid w:val="003F5380"/>
    <w:rsid w:val="00416CC7"/>
    <w:rsid w:val="005D5149"/>
    <w:rsid w:val="005F04B3"/>
    <w:rsid w:val="006E6D22"/>
    <w:rsid w:val="007043DD"/>
    <w:rsid w:val="00725311"/>
    <w:rsid w:val="007C0E41"/>
    <w:rsid w:val="008260F2"/>
    <w:rsid w:val="008510D4"/>
    <w:rsid w:val="008E79FC"/>
    <w:rsid w:val="009036FB"/>
    <w:rsid w:val="009438B1"/>
    <w:rsid w:val="00A5390B"/>
    <w:rsid w:val="00A6635A"/>
    <w:rsid w:val="00A935C0"/>
    <w:rsid w:val="00C24877"/>
    <w:rsid w:val="00E35679"/>
    <w:rsid w:val="00EF1A6C"/>
    <w:rsid w:val="04624A99"/>
    <w:rsid w:val="04661011"/>
    <w:rsid w:val="04BD1BA7"/>
    <w:rsid w:val="09D70404"/>
    <w:rsid w:val="0BE44893"/>
    <w:rsid w:val="0C197EFD"/>
    <w:rsid w:val="0C886EAB"/>
    <w:rsid w:val="118F7958"/>
    <w:rsid w:val="153C0E2B"/>
    <w:rsid w:val="17600C4E"/>
    <w:rsid w:val="18EF4E53"/>
    <w:rsid w:val="20315E0F"/>
    <w:rsid w:val="20792A83"/>
    <w:rsid w:val="21537630"/>
    <w:rsid w:val="263D0137"/>
    <w:rsid w:val="283D0195"/>
    <w:rsid w:val="2D126E0D"/>
    <w:rsid w:val="2ED9699B"/>
    <w:rsid w:val="31473E7A"/>
    <w:rsid w:val="318E1295"/>
    <w:rsid w:val="364F21ED"/>
    <w:rsid w:val="372142C2"/>
    <w:rsid w:val="388A4CBC"/>
    <w:rsid w:val="3BF75330"/>
    <w:rsid w:val="3C526A0A"/>
    <w:rsid w:val="4E2F67D9"/>
    <w:rsid w:val="4FC926E8"/>
    <w:rsid w:val="50CD4459"/>
    <w:rsid w:val="540366B0"/>
    <w:rsid w:val="59186333"/>
    <w:rsid w:val="596315EC"/>
    <w:rsid w:val="60DA1397"/>
    <w:rsid w:val="635D0996"/>
    <w:rsid w:val="671F2A18"/>
    <w:rsid w:val="6CBC47FB"/>
    <w:rsid w:val="6D876F5F"/>
    <w:rsid w:val="72461894"/>
    <w:rsid w:val="7A387F61"/>
    <w:rsid w:val="7F3F7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Hyperlink"/>
    <w:basedOn w:val="8"/>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Www.Ndeer.Com</Company>
  <Pages>6</Pages>
  <Words>2457</Words>
  <Characters>2580</Characters>
  <Lines>22</Lines>
  <Paragraphs>6</Paragraphs>
  <TotalTime>49</TotalTime>
  <ScaleCrop>false</ScaleCrop>
  <LinksUpToDate>false</LinksUpToDate>
  <CharactersWithSpaces>2595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2020-01-06T02:42:00Z</dcterms:created>
  <dc:creator>Administrator</dc:creator>
  <cp:lastModifiedBy>后来</cp:lastModifiedBy>
  <cp:lastPrinted>2022-01-24T08:22:00Z</cp:lastPrinted>
  <dcterms:modified xsi:type="dcterms:W3CDTF">2023-02-15T01:36:17Z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9F7499D847B84A7AB9FD283B40271EA8</vt:lpwstr>
  </property>
</Properties>
</file>