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132"/>
        <w:rPr>
          <w:rFonts w:hint="eastAsia" w:ascii="黑体" w:hAnsi="黑体" w:eastAsia="黑体" w:cs="黑体"/>
          <w:b/>
          <w:bCs/>
          <w:lang w:val="en-US"/>
        </w:rPr>
      </w:pPr>
      <w:r>
        <w:rPr>
          <w:sz w:val="32"/>
        </w:rPr>
        <mc:AlternateContent>
          <mc:Choice Requires="wps">
            <w:drawing>
              <wp:anchor distT="0" distB="0" distL="114300" distR="114300" simplePos="0" relativeHeight="251662336" behindDoc="0" locked="0" layoutInCell="1" allowOverlap="1">
                <wp:simplePos x="0" y="0"/>
                <wp:positionH relativeFrom="column">
                  <wp:posOffset>-168275</wp:posOffset>
                </wp:positionH>
                <wp:positionV relativeFrom="paragraph">
                  <wp:posOffset>-391795</wp:posOffset>
                </wp:positionV>
                <wp:extent cx="2160905" cy="428625"/>
                <wp:effectExtent l="0" t="0" r="10795" b="9525"/>
                <wp:wrapNone/>
                <wp:docPr id="5" name="流程图: 过程 5"/>
                <wp:cNvGraphicFramePr/>
                <a:graphic xmlns:a="http://schemas.openxmlformats.org/drawingml/2006/main">
                  <a:graphicData uri="http://schemas.microsoft.com/office/word/2010/wordprocessingShape">
                    <wps:wsp>
                      <wps:cNvSpPr/>
                      <wps:spPr>
                        <a:xfrm>
                          <a:off x="984885" y="887095"/>
                          <a:ext cx="2160905" cy="428625"/>
                        </a:xfrm>
                        <a:prstGeom prst="flowChartProcess">
                          <a:avLst/>
                        </a:prstGeom>
                        <a:ln>
                          <a:noFill/>
                        </a:ln>
                      </wps:spPr>
                      <wps:style>
                        <a:lnRef idx="2">
                          <a:schemeClr val="accent6"/>
                        </a:lnRef>
                        <a:fillRef idx="1">
                          <a:schemeClr val="lt1"/>
                        </a:fillRef>
                        <a:effectRef idx="0">
                          <a:schemeClr val="accent6"/>
                        </a:effectRef>
                        <a:fontRef idx="minor">
                          <a:schemeClr val="dk1"/>
                        </a:fontRef>
                      </wps:style>
                      <wps:txbx>
                        <w:txbxContent>
                          <w:p>
                            <w:pPr>
                              <w:pStyle w:val="3"/>
                              <w:ind w:left="132"/>
                              <w:rPr>
                                <w:rFonts w:hint="eastAsia" w:ascii="黑体" w:hAnsi="黑体" w:eastAsia="黑体" w:cs="黑体"/>
                                <w:b/>
                                <w:bCs/>
                                <w:lang w:val="en-US" w:eastAsia="zh-CN"/>
                              </w:rPr>
                            </w:pPr>
                            <w:r>
                              <w:rPr>
                                <w:rFonts w:hint="eastAsia" w:ascii="黑体" w:hAnsi="黑体" w:eastAsia="黑体" w:cs="黑体"/>
                                <w:b/>
                                <w:bCs/>
                              </w:rPr>
                              <w:t>TSDR-2021-0</w:t>
                            </w:r>
                            <w:r>
                              <w:rPr>
                                <w:rFonts w:hint="eastAsia" w:ascii="黑体" w:hAnsi="黑体" w:eastAsia="黑体" w:cs="黑体"/>
                                <w:b/>
                                <w:bCs/>
                                <w:lang w:val="en-US" w:eastAsia="zh-CN"/>
                              </w:rPr>
                              <w:t>0</w:t>
                            </w:r>
                            <w:r>
                              <w:rPr>
                                <w:rFonts w:hint="eastAsia" w:ascii="黑体" w:hAnsi="黑体" w:eastAsia="黑体" w:cs="黑体"/>
                                <w:b/>
                                <w:bCs/>
                              </w:rPr>
                              <w:t>2000</w:t>
                            </w:r>
                            <w:r>
                              <w:rPr>
                                <w:rFonts w:hint="eastAsia" w:ascii="黑体" w:hAnsi="黑体" w:eastAsia="黑体" w:cs="黑体"/>
                                <w:b/>
                                <w:bCs/>
                                <w:lang w:val="en-US" w:eastAsia="zh-CN"/>
                              </w:rPr>
                              <w:t>2</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3.25pt;margin-top:-30.85pt;height:33.75pt;width:170.15pt;z-index:251662336;v-text-anchor:middle;mso-width-relative:page;mso-height-relative:page;" fillcolor="#FFFFFF [3201]" filled="t" stroked="f" coordsize="21600,21600" o:gfxdata="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BdrLKzZAAAACQEAAA8A&#10;AAAAAAAAAQAgAAAAIgAAAGRycy9kb3ducmV2LnhtbFBLAQIUABQAAAAIAIdO4kARxUPpiAIAAOAE&#10;AAAOAAAAAAAAAAEAIAAAACgBAABkcnMvZTJvRG9jLnhtbFBLBQYAAAAABgAGAFkBAAAiBgAAAAA=&#10;">
                <v:fill on="t" focussize="0,0"/>
                <v:stroke on="f" weight="2pt"/>
                <v:imagedata o:title=""/>
                <o:lock v:ext="edit" aspectratio="f"/>
                <v:textbox>
                  <w:txbxContent>
                    <w:p>
                      <w:pPr>
                        <w:pStyle w:val="3"/>
                        <w:ind w:left="132"/>
                        <w:rPr>
                          <w:rFonts w:hint="eastAsia" w:ascii="黑体" w:hAnsi="黑体" w:eastAsia="黑体" w:cs="黑体"/>
                          <w:b/>
                          <w:bCs/>
                          <w:lang w:val="en-US" w:eastAsia="zh-CN"/>
                        </w:rPr>
                      </w:pPr>
                      <w:r>
                        <w:rPr>
                          <w:rFonts w:hint="eastAsia" w:ascii="黑体" w:hAnsi="黑体" w:eastAsia="黑体" w:cs="黑体"/>
                          <w:b/>
                          <w:bCs/>
                        </w:rPr>
                        <w:t>TSDR-2021-0</w:t>
                      </w:r>
                      <w:r>
                        <w:rPr>
                          <w:rFonts w:hint="eastAsia" w:ascii="黑体" w:hAnsi="黑体" w:eastAsia="黑体" w:cs="黑体"/>
                          <w:b/>
                          <w:bCs/>
                          <w:lang w:val="en-US" w:eastAsia="zh-CN"/>
                        </w:rPr>
                        <w:t>0</w:t>
                      </w:r>
                      <w:r>
                        <w:rPr>
                          <w:rFonts w:hint="eastAsia" w:ascii="黑体" w:hAnsi="黑体" w:eastAsia="黑体" w:cs="黑体"/>
                          <w:b/>
                          <w:bCs/>
                        </w:rPr>
                        <w:t>2000</w:t>
                      </w:r>
                      <w:r>
                        <w:rPr>
                          <w:rFonts w:hint="eastAsia" w:ascii="黑体" w:hAnsi="黑体" w:eastAsia="黑体" w:cs="黑体"/>
                          <w:b/>
                          <w:bCs/>
                          <w:lang w:val="en-US" w:eastAsia="zh-CN"/>
                        </w:rPr>
                        <w:t>2</w:t>
                      </w:r>
                    </w:p>
                    <w:p>
                      <w:pPr>
                        <w:jc w:val="center"/>
                      </w:pPr>
                    </w:p>
                  </w:txbxContent>
                </v:textbox>
              </v:shape>
            </w:pict>
          </mc:Fallback>
        </mc:AlternateContent>
      </w:r>
    </w:p>
    <w:p>
      <w:pPr>
        <w:jc w:val="center"/>
        <w:rPr>
          <w:rFonts w:hint="default" w:ascii="仿宋_GB2312" w:hAnsi="仿宋_GB2312" w:eastAsia="仿宋_GB2312" w:cs="仿宋_GB2312"/>
          <w:sz w:val="32"/>
          <w:szCs w:val="32"/>
          <w:lang w:val="en-US" w:eastAsia="zh-CN"/>
        </w:rPr>
      </w:pPr>
    </w:p>
    <w:p>
      <w:pPr>
        <w:jc w:val="center"/>
        <w:rPr>
          <w:rFonts w:ascii="仿宋_GB2312" w:hAnsi="仿宋_GB2312" w:eastAsia="仿宋_GB2312" w:cs="仿宋_GB2312"/>
          <w:sz w:val="32"/>
          <w:szCs w:val="32"/>
        </w:rPr>
      </w:pPr>
      <w:bookmarkStart w:id="0" w:name="_GoBack"/>
      <w:bookmarkEnd w:id="0"/>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spacing w:line="60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泰山政办发〔2021〕8号</w:t>
      </w:r>
    </w:p>
    <w:p>
      <w:pPr>
        <w:spacing w:line="600" w:lineRule="exact"/>
        <w:jc w:val="center"/>
        <w:rPr>
          <w:rFonts w:ascii="仿宋_GB2312" w:hAnsi="仿宋_GB2312" w:eastAsia="仿宋_GB2312" w:cs="仿宋_GB2312"/>
          <w:bCs/>
          <w:sz w:val="32"/>
          <w:szCs w:val="32"/>
        </w:rPr>
      </w:pPr>
    </w:p>
    <w:p>
      <w:pPr>
        <w:spacing w:line="600" w:lineRule="exact"/>
        <w:jc w:val="center"/>
        <w:rPr>
          <w:rFonts w:ascii="仿宋_GB2312" w:hAnsi="仿宋_GB2312" w:eastAsia="仿宋_GB2312" w:cs="仿宋_GB2312"/>
          <w:bCs/>
          <w:sz w:val="32"/>
          <w:szCs w:val="32"/>
        </w:rPr>
      </w:pPr>
    </w:p>
    <w:p>
      <w:pPr>
        <w:spacing w:line="600" w:lineRule="exact"/>
        <w:jc w:val="center"/>
        <w:rPr>
          <w:rFonts w:ascii="经典粗宋简" w:hAnsi="经典粗宋简" w:eastAsia="经典粗宋简" w:cs="经典粗宋简"/>
          <w:bCs/>
          <w:sz w:val="44"/>
          <w:szCs w:val="44"/>
        </w:rPr>
      </w:pPr>
      <w:r>
        <w:rPr>
          <w:rFonts w:hint="eastAsia" w:ascii="经典粗宋简" w:hAnsi="经典粗宋简" w:eastAsia="经典粗宋简" w:cs="经典粗宋简"/>
          <w:bCs/>
          <w:sz w:val="44"/>
          <w:szCs w:val="44"/>
        </w:rPr>
        <w:t>泰安市泰山区人民政府办公室</w:t>
      </w:r>
    </w:p>
    <w:p>
      <w:pPr>
        <w:spacing w:line="600" w:lineRule="exact"/>
        <w:jc w:val="center"/>
        <w:rPr>
          <w:rFonts w:ascii="经典粗宋简" w:hAnsi="经典粗宋简" w:eastAsia="经典粗宋简" w:cs="经典粗宋简"/>
          <w:bCs/>
          <w:sz w:val="44"/>
          <w:szCs w:val="44"/>
        </w:rPr>
      </w:pPr>
      <w:r>
        <w:rPr>
          <w:rFonts w:hint="eastAsia" w:ascii="经典粗宋简" w:hAnsi="经典粗宋简" w:eastAsia="经典粗宋简" w:cs="经典粗宋简"/>
          <w:bCs/>
          <w:sz w:val="44"/>
          <w:szCs w:val="44"/>
        </w:rPr>
        <w:t>关于印发《泰山区知识产权专项资金使用</w:t>
      </w:r>
    </w:p>
    <w:p>
      <w:pPr>
        <w:spacing w:line="600" w:lineRule="exact"/>
        <w:jc w:val="center"/>
        <w:rPr>
          <w:rFonts w:ascii="经典粗宋简" w:hAnsi="经典粗宋简" w:eastAsia="经典粗宋简" w:cs="经典粗宋简"/>
          <w:bCs/>
          <w:sz w:val="44"/>
          <w:szCs w:val="44"/>
        </w:rPr>
      </w:pPr>
      <w:r>
        <w:rPr>
          <w:rFonts w:hint="eastAsia" w:ascii="经典粗宋简" w:hAnsi="经典粗宋简" w:eastAsia="经典粗宋简" w:cs="经典粗宋简"/>
          <w:bCs/>
          <w:sz w:val="44"/>
          <w:szCs w:val="44"/>
        </w:rPr>
        <w:t>管理办法》的通知</w:t>
      </w:r>
    </w:p>
    <w:p>
      <w:pPr>
        <w:spacing w:line="600" w:lineRule="exact"/>
        <w:rPr>
          <w:rFonts w:ascii="经典粗宋简" w:hAnsi="经典粗宋简" w:eastAsia="经典粗宋简" w:cs="经典粗宋简"/>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各街道办事处、镇人民政府，区直有关部门：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《泰山区知识产权专项资金使用管理办法》已经区政府研究同意，现印发给你们，请认真贯彻执行。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before="156" w:beforeLines="50" w:line="600" w:lineRule="exact"/>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泰安市泰山区人民政府办公室</w:t>
      </w:r>
    </w:p>
    <w:p>
      <w:pPr>
        <w:spacing w:line="60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2021年8月25日</w:t>
      </w:r>
    </w:p>
    <w:p>
      <w:pPr>
        <w:spacing w:line="600" w:lineRule="exact"/>
        <w:jc w:val="center"/>
        <w:rPr>
          <w:rFonts w:ascii="仿宋_GB2312" w:hAnsi="经典粗宋简" w:eastAsia="仿宋_GB2312" w:cs="经典粗宋简"/>
          <w:b/>
          <w:sz w:val="44"/>
          <w:szCs w:val="32"/>
        </w:rPr>
      </w:pPr>
    </w:p>
    <w:p>
      <w:pPr>
        <w:spacing w:line="600" w:lineRule="exact"/>
        <w:jc w:val="center"/>
        <w:rPr>
          <w:rFonts w:ascii="仿宋_GB2312" w:hAnsi="经典粗宋简" w:eastAsia="仿宋_GB2312" w:cs="经典粗宋简"/>
          <w:b/>
          <w:sz w:val="44"/>
          <w:szCs w:val="32"/>
        </w:rPr>
      </w:pPr>
    </w:p>
    <w:p>
      <w:pPr>
        <w:spacing w:line="600" w:lineRule="exact"/>
        <w:jc w:val="center"/>
        <w:rPr>
          <w:rFonts w:ascii="方正小标宋简体" w:hAnsi="宋体" w:eastAsia="方正小标宋简体" w:cs="宋体"/>
          <w:bCs/>
          <w:color w:val="000000"/>
          <w:sz w:val="44"/>
          <w:szCs w:val="44"/>
        </w:rPr>
      </w:pPr>
      <w:r>
        <w:rPr>
          <w:rStyle w:val="14"/>
          <w:rFonts w:hint="default" w:ascii="方正小标宋简体" w:hAnsi="宋体" w:eastAsia="方正小标宋简体" w:cs="宋体"/>
          <w:bCs/>
          <w:color w:val="000000"/>
          <w:sz w:val="44"/>
          <w:szCs w:val="44"/>
        </w:rPr>
        <w:t>泰山区知识产权专项资金使用管理办法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宋体"/>
          <w:color w:val="000000"/>
          <w:sz w:val="32"/>
          <w:szCs w:val="32"/>
        </w:rPr>
      </w:pPr>
      <w:r>
        <w:rPr>
          <w:rFonts w:hint="eastAsia" w:ascii="黑体" w:hAnsi="黑体" w:eastAsia="黑体" w:cs="宋体"/>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inherit" w:eastAsia="仿宋_GB2312" w:cs="宋体"/>
          <w:color w:val="000000"/>
          <w:kern w:val="0"/>
          <w:sz w:val="32"/>
          <w:szCs w:val="32"/>
          <w:shd w:val="clear" w:color="auto" w:fill="FFFFFF"/>
        </w:rPr>
      </w:pPr>
      <w:r>
        <w:rPr>
          <w:rFonts w:hint="eastAsia" w:ascii="黑体" w:hAnsi="黑体" w:eastAsia="黑体" w:cs="宋体"/>
          <w:color w:val="000000"/>
          <w:sz w:val="32"/>
          <w:szCs w:val="32"/>
        </w:rPr>
        <w:t>第一条</w:t>
      </w:r>
      <w:r>
        <w:rPr>
          <w:rFonts w:hint="eastAsia" w:ascii="仿宋_GB2312" w:hAnsi="仿宋" w:eastAsia="仿宋_GB2312" w:cs="宋体"/>
          <w:color w:val="000000"/>
          <w:sz w:val="32"/>
          <w:szCs w:val="32"/>
        </w:rPr>
        <w:t xml:space="preserve">  为贯彻落实国家和省知识产权战略纲要，加大对自主创新的激励、推动作用，根据《山东省市场监督管理局知识产权（专利）资金使用管理实施细则》精神，制定本办法。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sz w:val="32"/>
          <w:szCs w:val="32"/>
        </w:rPr>
      </w:pPr>
      <w:r>
        <w:rPr>
          <w:rFonts w:hint="eastAsia" w:ascii="黑体" w:hAnsi="黑体" w:eastAsia="黑体" w:cs="宋体"/>
          <w:color w:val="000000"/>
          <w:sz w:val="32"/>
          <w:szCs w:val="32"/>
        </w:rPr>
        <w:t>第二条</w:t>
      </w:r>
      <w:r>
        <w:rPr>
          <w:rFonts w:hint="eastAsia" w:ascii="仿宋_GB2312" w:hAnsi="仿宋" w:eastAsia="仿宋_GB2312" w:cs="宋体"/>
          <w:color w:val="000000"/>
          <w:sz w:val="32"/>
          <w:szCs w:val="32"/>
        </w:rPr>
        <w:t xml:space="preserve">  专项资金的管理与使用，应遵守国家有关法律法规和财政管理制度，按照“公开透明、科学管理、注重实效、利于监督”的原则。</w:t>
      </w:r>
    </w:p>
    <w:p>
      <w:pPr>
        <w:keepNext w:val="0"/>
        <w:keepLines w:val="0"/>
        <w:pageBreakBefore w:val="0"/>
        <w:widowControl w:val="0"/>
        <w:kinsoku/>
        <w:wordWrap/>
        <w:overflowPunct/>
        <w:topLinePunct w:val="0"/>
        <w:autoSpaceDE/>
        <w:autoSpaceDN/>
        <w:bidi w:val="0"/>
        <w:adjustRightInd/>
        <w:snapToGrid/>
        <w:spacing w:line="600" w:lineRule="exact"/>
        <w:ind w:firstLine="720" w:firstLineChars="225"/>
        <w:textAlignment w:val="auto"/>
        <w:rPr>
          <w:rFonts w:ascii="仿宋_GB2312" w:hAnsi="仿宋" w:eastAsia="仿宋_GB2312" w:cs="宋体"/>
          <w:color w:val="000000"/>
          <w:sz w:val="32"/>
          <w:szCs w:val="32"/>
        </w:rPr>
      </w:pPr>
      <w:r>
        <w:rPr>
          <w:rFonts w:hint="eastAsia" w:ascii="黑体" w:hAnsi="黑体" w:eastAsia="黑体" w:cs="宋体"/>
          <w:color w:val="000000"/>
          <w:sz w:val="32"/>
          <w:szCs w:val="32"/>
        </w:rPr>
        <w:t>第三条</w:t>
      </w:r>
      <w:r>
        <w:rPr>
          <w:rFonts w:hint="eastAsia" w:ascii="仿宋_GB2312" w:hAnsi="仿宋" w:eastAsia="仿宋_GB2312" w:cs="宋体"/>
          <w:color w:val="000000"/>
          <w:sz w:val="32"/>
          <w:szCs w:val="32"/>
        </w:rPr>
        <w:t xml:space="preserve">  本办法适用于泰山区境内的机关团体、企事业单位和有经常居所的个人</w:t>
      </w:r>
      <w:r>
        <w:rPr>
          <w:rFonts w:hint="eastAsia" w:ascii="仿宋_GB2312" w:eastAsia="仿宋_GB2312"/>
          <w:sz w:val="32"/>
          <w:szCs w:val="32"/>
        </w:rPr>
        <w:t>（失信主体不得申报扶持资金）</w:t>
      </w:r>
      <w:r>
        <w:rPr>
          <w:rFonts w:hint="eastAsia" w:ascii="仿宋_GB2312" w:hAnsi="仿宋" w:eastAsia="仿宋_GB2312" w:cs="宋体"/>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宋体"/>
          <w:color w:val="000000"/>
          <w:sz w:val="32"/>
          <w:szCs w:val="32"/>
        </w:rPr>
      </w:pPr>
      <w:r>
        <w:rPr>
          <w:rFonts w:hint="eastAsia" w:ascii="黑体" w:hAnsi="黑体" w:eastAsia="黑体" w:cs="宋体"/>
          <w:color w:val="000000"/>
          <w:sz w:val="32"/>
          <w:szCs w:val="32"/>
        </w:rPr>
        <w:t>第二章  专项资金使用范围</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ascii="仿宋_GB2312" w:hAnsi="仿宋" w:eastAsia="仿宋_GB2312" w:cs="宋体"/>
          <w:color w:val="000000"/>
          <w:sz w:val="32"/>
          <w:szCs w:val="32"/>
        </w:rPr>
      </w:pPr>
      <w:r>
        <w:rPr>
          <w:rFonts w:hint="eastAsia" w:ascii="黑体" w:hAnsi="黑体" w:eastAsia="黑体" w:cs="宋体"/>
          <w:color w:val="000000"/>
          <w:sz w:val="32"/>
          <w:szCs w:val="32"/>
        </w:rPr>
        <w:t>第四条</w:t>
      </w:r>
      <w:r>
        <w:rPr>
          <w:rFonts w:hint="eastAsia" w:ascii="仿宋_GB2312" w:hAnsi="仿宋" w:eastAsia="仿宋_GB2312" w:cs="宋体"/>
          <w:b/>
          <w:color w:val="000000"/>
          <w:sz w:val="32"/>
          <w:szCs w:val="32"/>
        </w:rPr>
        <w:t xml:space="preserve">  </w:t>
      </w:r>
      <w:r>
        <w:rPr>
          <w:rFonts w:hint="eastAsia" w:ascii="仿宋_GB2312" w:hAnsi="仿宋" w:eastAsia="仿宋_GB2312"/>
          <w:color w:val="000000"/>
          <w:sz w:val="32"/>
          <w:szCs w:val="32"/>
        </w:rPr>
        <w:t>专项资金主要用于知识产权创造、运用、奖励等。</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hAnsi="仿宋" w:eastAsia="仿宋_GB2312" w:cs="宋体"/>
          <w:color w:val="000000"/>
          <w:sz w:val="32"/>
          <w:szCs w:val="32"/>
        </w:rPr>
      </w:pPr>
      <w:r>
        <w:rPr>
          <w:rFonts w:hint="eastAsia" w:ascii="黑体" w:hAnsi="黑体" w:eastAsia="黑体" w:cs="宋体"/>
          <w:color w:val="000000"/>
          <w:sz w:val="32"/>
          <w:szCs w:val="32"/>
        </w:rPr>
        <w:t>第五条</w:t>
      </w:r>
      <w:r>
        <w:rPr>
          <w:rFonts w:hint="eastAsia" w:ascii="仿宋_GB2312" w:hAnsi="黑体" w:eastAsia="仿宋_GB2312" w:cs="宋体"/>
          <w:color w:val="000000"/>
          <w:sz w:val="32"/>
          <w:szCs w:val="32"/>
        </w:rPr>
        <w:t xml:space="preserve"> </w:t>
      </w:r>
      <w:r>
        <w:rPr>
          <w:rFonts w:hint="eastAsia" w:ascii="仿宋_GB2312" w:hAnsi="仿宋" w:eastAsia="仿宋_GB2312" w:cs="宋体"/>
          <w:color w:val="000000"/>
          <w:sz w:val="32"/>
          <w:szCs w:val="32"/>
        </w:rPr>
        <w:t xml:space="preserve"> 知识产权创造主要包括：企业首件发明专利资助；国外授权发明专利资助；</w:t>
      </w:r>
      <w:r>
        <w:rPr>
          <w:rFonts w:hint="eastAsia" w:ascii="仿宋_GB2312" w:eastAsia="仿宋_GB2312"/>
          <w:sz w:val="32"/>
          <w:szCs w:val="32"/>
        </w:rPr>
        <w:t>授权发明专利“大户”资助</w:t>
      </w:r>
      <w:r>
        <w:rPr>
          <w:rFonts w:hint="eastAsia" w:ascii="仿宋_GB2312" w:hAnsi="仿宋" w:eastAsia="仿宋_GB2312" w:cs="宋体"/>
          <w:color w:val="000000"/>
          <w:sz w:val="32"/>
          <w:szCs w:val="32"/>
        </w:rPr>
        <w:t>；</w:t>
      </w:r>
      <w:r>
        <w:rPr>
          <w:rFonts w:hint="eastAsia" w:ascii="仿宋_GB2312" w:eastAsia="仿宋_GB2312"/>
          <w:sz w:val="32"/>
          <w:szCs w:val="32"/>
        </w:rPr>
        <w:t>地理标志（商标和保护产品）资助；马德里国际注册商标资助。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sz w:val="32"/>
          <w:szCs w:val="32"/>
        </w:rPr>
      </w:pPr>
      <w:r>
        <w:rPr>
          <w:rFonts w:hint="eastAsia" w:ascii="黑体" w:hAnsi="黑体" w:eastAsia="黑体" w:cs="宋体"/>
          <w:color w:val="000000"/>
          <w:sz w:val="32"/>
          <w:szCs w:val="32"/>
        </w:rPr>
        <w:t>第六条</w:t>
      </w:r>
      <w:r>
        <w:rPr>
          <w:rFonts w:hint="eastAsia" w:ascii="仿宋_GB2312" w:hAnsi="仿宋" w:eastAsia="仿宋_GB2312" w:cs="宋体"/>
          <w:color w:val="000000"/>
          <w:sz w:val="32"/>
          <w:szCs w:val="32"/>
        </w:rPr>
        <w:t xml:space="preserve">  知识产权运用主要包括：贯彻知识产权管理规范国家标准等知识产权优势培育工作；</w:t>
      </w:r>
      <w:r>
        <w:rPr>
          <w:rFonts w:hint="eastAsia" w:ascii="仿宋_GB2312" w:eastAsia="仿宋_GB2312"/>
          <w:sz w:val="32"/>
          <w:szCs w:val="32"/>
        </w:rPr>
        <w:t>省重点领域关键核心技术专利项目</w:t>
      </w:r>
      <w:r>
        <w:rPr>
          <w:rFonts w:hint="eastAsia" w:ascii="仿宋_GB2312" w:hAnsi="仿宋" w:eastAsia="仿宋_GB2312" w:cs="宋体"/>
          <w:color w:val="000000"/>
          <w:sz w:val="32"/>
          <w:szCs w:val="32"/>
        </w:rPr>
        <w:t>等高价值专利培育项目；专利导航产业发展；高价值专利培育中心建设。</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ascii="仿宋_GB2312" w:hAnsi="仿宋" w:eastAsia="仿宋_GB2312" w:cs="宋体"/>
          <w:color w:val="000000"/>
          <w:sz w:val="32"/>
          <w:szCs w:val="32"/>
        </w:rPr>
      </w:pPr>
      <w:r>
        <w:rPr>
          <w:rFonts w:hint="eastAsia" w:ascii="黑体" w:hAnsi="黑体" w:eastAsia="黑体" w:cs="宋体"/>
          <w:color w:val="000000"/>
          <w:sz w:val="32"/>
          <w:szCs w:val="32"/>
        </w:rPr>
        <w:t>第七条</w:t>
      </w:r>
      <w:r>
        <w:rPr>
          <w:rFonts w:hint="eastAsia" w:ascii="仿宋_GB2312" w:hAnsi="仿宋" w:eastAsia="仿宋_GB2312" w:cs="宋体"/>
          <w:color w:val="000000"/>
          <w:sz w:val="32"/>
          <w:szCs w:val="32"/>
        </w:rPr>
        <w:t xml:space="preserve">  知识产权奖励主要包括：</w:t>
      </w:r>
      <w:r>
        <w:rPr>
          <w:rFonts w:hint="eastAsia" w:ascii="仿宋_GB2312" w:eastAsia="仿宋_GB2312"/>
          <w:sz w:val="32"/>
          <w:szCs w:val="32"/>
        </w:rPr>
        <w:t>国家知识产权优势企业和国家知识产权示范企业的奖励；新获得中国驰名商标的奖励；对知识产权服务机构的奖励。</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宋体"/>
          <w:color w:val="000000"/>
          <w:sz w:val="32"/>
          <w:szCs w:val="32"/>
        </w:rPr>
      </w:pPr>
      <w:r>
        <w:rPr>
          <w:rFonts w:hint="eastAsia" w:ascii="黑体" w:hAnsi="黑体" w:eastAsia="黑体" w:cs="宋体"/>
          <w:color w:val="000000"/>
          <w:sz w:val="32"/>
          <w:szCs w:val="32"/>
        </w:rPr>
        <w:t>第三章  专项资金资助（奖励）标准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 w:hAnsi="楷体" w:eastAsia="楷体" w:cs="宋体"/>
          <w:b w:val="0"/>
          <w:bCs w:val="0"/>
          <w:color w:val="000000"/>
          <w:sz w:val="32"/>
          <w:szCs w:val="32"/>
        </w:rPr>
      </w:pPr>
      <w:r>
        <w:rPr>
          <w:rFonts w:hint="eastAsia" w:ascii="黑体" w:hAnsi="黑体" w:eastAsia="黑体" w:cs="宋体"/>
          <w:color w:val="000000"/>
          <w:sz w:val="32"/>
          <w:szCs w:val="32"/>
        </w:rPr>
        <w:t xml:space="preserve">第八条 </w:t>
      </w:r>
      <w:r>
        <w:rPr>
          <w:rFonts w:hint="eastAsia" w:ascii="仿宋_GB2312" w:hAnsi="宋体" w:eastAsia="仿宋_GB2312" w:cs="宋体"/>
          <w:b w:val="0"/>
          <w:bCs w:val="0"/>
          <w:color w:val="000000"/>
          <w:sz w:val="32"/>
          <w:szCs w:val="32"/>
        </w:rPr>
        <w:t xml:space="preserve"> </w:t>
      </w:r>
      <w:r>
        <w:rPr>
          <w:rFonts w:hint="eastAsia" w:ascii="楷体" w:hAnsi="楷体" w:eastAsia="楷体" w:cs="宋体"/>
          <w:b w:val="0"/>
          <w:bCs w:val="0"/>
          <w:color w:val="000000"/>
          <w:sz w:val="32"/>
          <w:szCs w:val="32"/>
        </w:rPr>
        <w:t>知识产权创造资助标准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1.企业首件发明专利资助。对企业首件国内授权发明专利给予一次性资助3000元；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2.国外授权发明专利资助（包括：G20成员国、新加坡及欧洲专利局）。国外授权发明专利，企业每个国家每件最高资助2万元，个人每个国家每件最高资助1万元，最高不超过5万元；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3.授权发明专利“大户”资助。年授权发明专利3件以上</w:t>
      </w:r>
      <w:r>
        <w:rPr>
          <w:rFonts w:hint="eastAsia" w:ascii="仿宋_GB2312" w:eastAsia="仿宋_GB2312"/>
          <w:b w:val="0"/>
          <w:bCs w:val="0"/>
          <w:sz w:val="32"/>
          <w:szCs w:val="32"/>
          <w:lang w:eastAsia="zh-CN"/>
        </w:rPr>
        <w:t>的企业</w:t>
      </w:r>
      <w:r>
        <w:rPr>
          <w:rFonts w:hint="eastAsia" w:ascii="仿宋_GB2312" w:eastAsia="仿宋_GB2312"/>
          <w:b w:val="0"/>
          <w:bCs w:val="0"/>
          <w:sz w:val="32"/>
          <w:szCs w:val="32"/>
        </w:rPr>
        <w:t>（含3件）给予一次性1万元的资助；年授权发明专利5件以上</w:t>
      </w:r>
      <w:r>
        <w:rPr>
          <w:rFonts w:hint="eastAsia" w:ascii="仿宋_GB2312" w:eastAsia="仿宋_GB2312"/>
          <w:b w:val="0"/>
          <w:bCs w:val="0"/>
          <w:sz w:val="32"/>
          <w:szCs w:val="32"/>
          <w:lang w:eastAsia="zh-CN"/>
        </w:rPr>
        <w:t>的企业</w:t>
      </w:r>
      <w:r>
        <w:rPr>
          <w:rFonts w:hint="eastAsia" w:ascii="仿宋_GB2312" w:eastAsia="仿宋_GB2312"/>
          <w:b w:val="0"/>
          <w:bCs w:val="0"/>
          <w:sz w:val="32"/>
          <w:szCs w:val="32"/>
        </w:rPr>
        <w:t>（含5件）给予一次性2万元的资助；年授权发明专利10件以上</w:t>
      </w:r>
      <w:r>
        <w:rPr>
          <w:rFonts w:hint="eastAsia" w:ascii="仿宋_GB2312" w:eastAsia="仿宋_GB2312"/>
          <w:b w:val="0"/>
          <w:bCs w:val="0"/>
          <w:sz w:val="32"/>
          <w:szCs w:val="32"/>
          <w:lang w:eastAsia="zh-CN"/>
        </w:rPr>
        <w:t>的企业</w:t>
      </w:r>
      <w:r>
        <w:rPr>
          <w:rFonts w:hint="eastAsia" w:ascii="仿宋_GB2312" w:eastAsia="仿宋_GB2312"/>
          <w:b w:val="0"/>
          <w:bCs w:val="0"/>
          <w:sz w:val="32"/>
          <w:szCs w:val="32"/>
        </w:rPr>
        <w:t>（含10件）的给予一次性3万元的资助；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4.</w:t>
      </w:r>
      <w:r>
        <w:rPr>
          <w:rFonts w:hint="eastAsia" w:ascii="仿宋_GB2312" w:eastAsia="仿宋_GB2312"/>
          <w:b w:val="0"/>
          <w:bCs w:val="0"/>
          <w:spacing w:val="-6"/>
          <w:sz w:val="32"/>
          <w:szCs w:val="32"/>
        </w:rPr>
        <w:t>对获得地理标志（商标和保护产品）的单位给予5万元资助</w:t>
      </w:r>
      <w:r>
        <w:rPr>
          <w:rFonts w:hint="eastAsia" w:ascii="仿宋_GB2312" w:eastAsia="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5.对利用马德里商标国际注册体系注册商标的企业给予1万元资助。</w:t>
      </w:r>
    </w:p>
    <w:p>
      <w:pPr>
        <w:pStyle w:val="2"/>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楷体" w:hAnsi="楷体" w:eastAsia="楷体" w:cs="宋体"/>
          <w:b w:val="0"/>
          <w:bCs w:val="0"/>
          <w:color w:val="000000"/>
          <w:szCs w:val="32"/>
        </w:rPr>
      </w:pPr>
      <w:r>
        <w:rPr>
          <w:rFonts w:hint="eastAsia" w:ascii="黑体" w:hAnsi="黑体" w:eastAsia="黑体" w:cs="宋体"/>
          <w:b w:val="0"/>
          <w:bCs w:val="0"/>
          <w:color w:val="000000"/>
          <w:szCs w:val="32"/>
        </w:rPr>
        <w:t>第九条</w:t>
      </w:r>
      <w:r>
        <w:rPr>
          <w:rFonts w:hint="eastAsia"/>
          <w:b w:val="0"/>
          <w:bCs w:val="0"/>
          <w:kern w:val="0"/>
          <w:szCs w:val="32"/>
          <w:shd w:val="clear" w:color="auto" w:fill="FFFFFF"/>
        </w:rPr>
        <w:t xml:space="preserve">  </w:t>
      </w:r>
      <w:r>
        <w:rPr>
          <w:rFonts w:hint="eastAsia" w:ascii="楷体" w:hAnsi="楷体" w:eastAsia="楷体" w:cs="宋体"/>
          <w:b w:val="0"/>
          <w:bCs w:val="0"/>
          <w:color w:val="000000"/>
          <w:szCs w:val="32"/>
        </w:rPr>
        <w:t>知识产权运用资助标准</w:t>
      </w:r>
    </w:p>
    <w:p>
      <w:pPr>
        <w:pStyle w:val="2"/>
        <w:keepNext w:val="0"/>
        <w:keepLines w:val="0"/>
        <w:pageBreakBefore w:val="0"/>
        <w:widowControl w:val="0"/>
        <w:kinsoku/>
        <w:wordWrap/>
        <w:overflowPunct/>
        <w:topLinePunct w:val="0"/>
        <w:autoSpaceDE/>
        <w:autoSpaceDN/>
        <w:bidi w:val="0"/>
        <w:adjustRightInd/>
        <w:snapToGrid/>
        <w:spacing w:line="600" w:lineRule="exact"/>
        <w:ind w:firstLine="645"/>
        <w:textAlignment w:val="auto"/>
        <w:rPr>
          <w:b w:val="0"/>
          <w:bCs w:val="0"/>
          <w:szCs w:val="32"/>
        </w:rPr>
      </w:pPr>
      <w:r>
        <w:rPr>
          <w:rFonts w:hint="eastAsia"/>
          <w:b w:val="0"/>
          <w:bCs w:val="0"/>
          <w:kern w:val="0"/>
          <w:szCs w:val="32"/>
          <w:shd w:val="clear" w:color="auto" w:fill="FFFFFF"/>
        </w:rPr>
        <w:t>1.</w:t>
      </w:r>
      <w:r>
        <w:rPr>
          <w:rFonts w:hint="eastAsia"/>
          <w:b w:val="0"/>
          <w:bCs w:val="0"/>
          <w:szCs w:val="32"/>
        </w:rPr>
        <w:t>企业知识产权贯标资助。对通过《企业知识产权管理规范》国家标准认证的企业，每个企业资助2万元；</w:t>
      </w:r>
    </w:p>
    <w:p>
      <w:pPr>
        <w:pStyle w:val="2"/>
        <w:keepNext w:val="0"/>
        <w:keepLines w:val="0"/>
        <w:pageBreakBefore w:val="0"/>
        <w:widowControl w:val="0"/>
        <w:kinsoku/>
        <w:wordWrap/>
        <w:overflowPunct/>
        <w:topLinePunct w:val="0"/>
        <w:autoSpaceDE/>
        <w:autoSpaceDN/>
        <w:bidi w:val="0"/>
        <w:adjustRightInd/>
        <w:snapToGrid/>
        <w:spacing w:line="600" w:lineRule="exact"/>
        <w:ind w:firstLine="645"/>
        <w:textAlignment w:val="auto"/>
        <w:rPr>
          <w:b w:val="0"/>
          <w:bCs w:val="0"/>
          <w:szCs w:val="32"/>
        </w:rPr>
      </w:pPr>
      <w:r>
        <w:rPr>
          <w:rFonts w:hint="eastAsia"/>
          <w:b w:val="0"/>
          <w:bCs w:val="0"/>
          <w:szCs w:val="32"/>
        </w:rPr>
        <w:t>2.重点领域关键核心技术专利项目。对经山东省市场监督管理局认定，在泰山区落地并转化实施的重点领域关键核心技术专利项目，给予每家企业最高20万元的配套资金扶持；</w:t>
      </w:r>
    </w:p>
    <w:p>
      <w:pPr>
        <w:pStyle w:val="2"/>
        <w:keepNext w:val="0"/>
        <w:keepLines w:val="0"/>
        <w:pageBreakBefore w:val="0"/>
        <w:widowControl w:val="0"/>
        <w:kinsoku/>
        <w:wordWrap/>
        <w:overflowPunct/>
        <w:topLinePunct w:val="0"/>
        <w:autoSpaceDE/>
        <w:autoSpaceDN/>
        <w:bidi w:val="0"/>
        <w:adjustRightInd/>
        <w:snapToGrid/>
        <w:spacing w:line="600" w:lineRule="exact"/>
        <w:ind w:firstLine="645"/>
        <w:textAlignment w:val="auto"/>
        <w:rPr>
          <w:b w:val="0"/>
          <w:bCs w:val="0"/>
          <w:szCs w:val="32"/>
        </w:rPr>
      </w:pPr>
      <w:r>
        <w:rPr>
          <w:rFonts w:hint="eastAsia"/>
          <w:b w:val="0"/>
          <w:bCs w:val="0"/>
          <w:szCs w:val="32"/>
        </w:rPr>
        <w:t>3.专利导航项目。对首次开展专利导航的企业，在完成专利导航项目后，给予最高5万元的一次性资助；</w:t>
      </w:r>
    </w:p>
    <w:p>
      <w:pPr>
        <w:pStyle w:val="2"/>
        <w:keepNext w:val="0"/>
        <w:keepLines w:val="0"/>
        <w:pageBreakBefore w:val="0"/>
        <w:widowControl w:val="0"/>
        <w:kinsoku/>
        <w:wordWrap/>
        <w:overflowPunct/>
        <w:topLinePunct w:val="0"/>
        <w:autoSpaceDE/>
        <w:autoSpaceDN/>
        <w:bidi w:val="0"/>
        <w:adjustRightInd/>
        <w:snapToGrid/>
        <w:spacing w:line="600" w:lineRule="exact"/>
        <w:ind w:firstLine="645"/>
        <w:textAlignment w:val="auto"/>
        <w:rPr>
          <w:b w:val="0"/>
          <w:bCs w:val="0"/>
          <w:szCs w:val="32"/>
        </w:rPr>
      </w:pPr>
      <w:r>
        <w:rPr>
          <w:rFonts w:hint="eastAsia"/>
          <w:b w:val="0"/>
          <w:bCs w:val="0"/>
          <w:szCs w:val="32"/>
        </w:rPr>
        <w:t>4.高价值专利培育中心建设。入选泰安市高价值培育中心的企事业单位</w:t>
      </w:r>
      <w:r>
        <w:rPr>
          <w:rFonts w:hint="eastAsia"/>
          <w:b w:val="0"/>
          <w:bCs w:val="0"/>
          <w:szCs w:val="32"/>
          <w:lang w:eastAsia="zh-CN"/>
        </w:rPr>
        <w:t>每家</w:t>
      </w:r>
      <w:r>
        <w:rPr>
          <w:rFonts w:hint="eastAsia"/>
          <w:b w:val="0"/>
          <w:bCs w:val="0"/>
          <w:szCs w:val="32"/>
        </w:rPr>
        <w:t>给予最高不超过10万元的资金扶持。</w:t>
      </w:r>
    </w:p>
    <w:p>
      <w:pPr>
        <w:pStyle w:val="2"/>
        <w:keepNext w:val="0"/>
        <w:keepLines w:val="0"/>
        <w:pageBreakBefore w:val="0"/>
        <w:widowControl w:val="0"/>
        <w:kinsoku/>
        <w:wordWrap/>
        <w:overflowPunct/>
        <w:topLinePunct w:val="0"/>
        <w:autoSpaceDE/>
        <w:autoSpaceDN/>
        <w:bidi w:val="0"/>
        <w:adjustRightInd/>
        <w:snapToGrid/>
        <w:spacing w:line="600" w:lineRule="exact"/>
        <w:ind w:firstLine="645"/>
        <w:textAlignment w:val="auto"/>
        <w:rPr>
          <w:b w:val="0"/>
          <w:bCs w:val="0"/>
          <w:szCs w:val="32"/>
        </w:rPr>
      </w:pPr>
      <w:r>
        <w:rPr>
          <w:rFonts w:hint="eastAsia" w:ascii="黑体" w:hAnsi="黑体" w:eastAsia="黑体" w:cs="宋体"/>
          <w:b w:val="0"/>
          <w:bCs w:val="0"/>
          <w:color w:val="000000"/>
          <w:szCs w:val="32"/>
        </w:rPr>
        <w:t>第十条</w:t>
      </w:r>
      <w:r>
        <w:rPr>
          <w:rFonts w:hint="eastAsia"/>
          <w:b w:val="0"/>
          <w:bCs w:val="0"/>
          <w:szCs w:val="32"/>
        </w:rPr>
        <w:t xml:space="preserve">  </w:t>
      </w:r>
      <w:r>
        <w:rPr>
          <w:rFonts w:hint="eastAsia" w:ascii="楷体" w:hAnsi="楷体" w:eastAsia="楷体" w:cs="宋体"/>
          <w:b w:val="0"/>
          <w:bCs w:val="0"/>
          <w:color w:val="000000"/>
          <w:szCs w:val="32"/>
        </w:rPr>
        <w:t>知识产权奖励资助标准</w:t>
      </w:r>
    </w:p>
    <w:p>
      <w:pPr>
        <w:pStyle w:val="2"/>
        <w:keepNext w:val="0"/>
        <w:keepLines w:val="0"/>
        <w:pageBreakBefore w:val="0"/>
        <w:widowControl w:val="0"/>
        <w:kinsoku/>
        <w:wordWrap/>
        <w:overflowPunct/>
        <w:topLinePunct w:val="0"/>
        <w:autoSpaceDE/>
        <w:autoSpaceDN/>
        <w:bidi w:val="0"/>
        <w:adjustRightInd/>
        <w:snapToGrid/>
        <w:spacing w:line="600" w:lineRule="exact"/>
        <w:ind w:firstLine="645"/>
        <w:textAlignment w:val="auto"/>
        <w:rPr>
          <w:b w:val="0"/>
          <w:bCs w:val="0"/>
          <w:szCs w:val="32"/>
        </w:rPr>
      </w:pPr>
      <w:r>
        <w:rPr>
          <w:rFonts w:hint="eastAsia"/>
          <w:b w:val="0"/>
          <w:bCs w:val="0"/>
          <w:szCs w:val="32"/>
        </w:rPr>
        <w:t>1.经国家知识产权局认定为国家知识产权优势企业的，每个企业一次性奖励5万元；经国家知识产权局认定为国家知识产权示范企业的，每个企业一次性奖励10万元；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2.对新获得中国驰名商标的企业，一次</w:t>
      </w:r>
      <w:r>
        <w:rPr>
          <w:rFonts w:hint="eastAsia" w:ascii="仿宋_GB2312" w:eastAsia="仿宋_GB2312"/>
          <w:b w:val="0"/>
          <w:bCs w:val="0"/>
          <w:sz w:val="32"/>
          <w:szCs w:val="32"/>
          <w:lang w:eastAsia="zh-CN"/>
        </w:rPr>
        <w:t>性</w:t>
      </w:r>
      <w:r>
        <w:rPr>
          <w:rFonts w:hint="eastAsia" w:ascii="仿宋_GB2312" w:eastAsia="仿宋_GB2312"/>
          <w:b w:val="0"/>
          <w:bCs w:val="0"/>
          <w:sz w:val="32"/>
          <w:szCs w:val="32"/>
        </w:rPr>
        <w:t>补助被认定申请人工作经费20万元；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3.对全区专利代理质量高、服务诚信的专利代理机构以及对促进全区知识产权转移转化的知识产权优秀服务机构，给予一定的奖励资助。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b w:val="0"/>
          <w:bCs w:val="0"/>
          <w:color w:val="000000"/>
          <w:sz w:val="32"/>
          <w:szCs w:val="32"/>
        </w:rPr>
      </w:pPr>
      <w:r>
        <w:rPr>
          <w:rFonts w:hint="eastAsia" w:ascii="黑体" w:hAnsi="黑体" w:eastAsia="黑体" w:cs="宋体"/>
          <w:b w:val="0"/>
          <w:bCs w:val="0"/>
          <w:color w:val="000000"/>
          <w:sz w:val="32"/>
          <w:szCs w:val="32"/>
        </w:rPr>
        <w:t>第十一条</w:t>
      </w:r>
      <w:r>
        <w:rPr>
          <w:rFonts w:hint="eastAsia" w:ascii="仿宋_GB2312" w:hAnsi="仿宋" w:eastAsia="仿宋_GB2312" w:cs="宋体"/>
          <w:b w:val="0"/>
          <w:bCs w:val="0"/>
          <w:color w:val="000000"/>
          <w:sz w:val="32"/>
          <w:szCs w:val="32"/>
        </w:rPr>
        <w:t xml:space="preserve">  </w:t>
      </w:r>
      <w:r>
        <w:rPr>
          <w:rFonts w:hint="eastAsia" w:ascii="楷体" w:hAnsi="楷体" w:eastAsia="楷体" w:cs="宋体"/>
          <w:b w:val="0"/>
          <w:bCs w:val="0"/>
          <w:color w:val="000000"/>
          <w:sz w:val="32"/>
          <w:szCs w:val="32"/>
        </w:rPr>
        <w:t>专项资金的申请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bCs/>
          <w:color w:val="000000"/>
          <w:sz w:val="32"/>
          <w:szCs w:val="32"/>
        </w:rPr>
      </w:pPr>
      <w:r>
        <w:rPr>
          <w:rFonts w:hint="eastAsia" w:ascii="仿宋_GB2312" w:hAnsi="仿宋" w:eastAsia="仿宋_GB2312" w:cs="宋体"/>
          <w:b w:val="0"/>
          <w:bCs w:val="0"/>
          <w:color w:val="000000"/>
          <w:sz w:val="32"/>
          <w:szCs w:val="32"/>
        </w:rPr>
        <w:t>1.符合条件的单位或个人，向区市</w:t>
      </w:r>
      <w:r>
        <w:rPr>
          <w:rFonts w:hint="eastAsia" w:ascii="仿宋_GB2312" w:hAnsi="仿宋" w:eastAsia="仿宋_GB2312" w:cs="宋体"/>
          <w:bCs/>
          <w:color w:val="000000"/>
          <w:sz w:val="32"/>
          <w:szCs w:val="32"/>
        </w:rPr>
        <w:t>场监督管理局提出申请并提供相关资料；</w:t>
      </w:r>
    </w:p>
    <w:p>
      <w:pPr>
        <w:keepNext w:val="0"/>
        <w:keepLines w:val="0"/>
        <w:pageBreakBefore w:val="0"/>
        <w:widowControl w:val="0"/>
        <w:kinsoku/>
        <w:wordWrap/>
        <w:overflowPunct/>
        <w:topLinePunct w:val="0"/>
        <w:autoSpaceDE/>
        <w:autoSpaceDN/>
        <w:bidi w:val="0"/>
        <w:adjustRightInd/>
        <w:snapToGrid/>
        <w:spacing w:line="600" w:lineRule="exact"/>
        <w:ind w:firstLine="601"/>
        <w:textAlignment w:val="auto"/>
        <w:rPr>
          <w:rFonts w:ascii="仿宋_GB2312" w:eastAsia="仿宋_GB2312"/>
          <w:sz w:val="32"/>
          <w:szCs w:val="32"/>
        </w:rPr>
      </w:pPr>
      <w:r>
        <w:rPr>
          <w:rFonts w:hint="eastAsia" w:ascii="仿宋_GB2312" w:hAnsi="仿宋" w:eastAsia="仿宋_GB2312" w:cs="宋体"/>
          <w:bCs/>
          <w:color w:val="000000"/>
          <w:sz w:val="32"/>
          <w:szCs w:val="32"/>
        </w:rPr>
        <w:t>2.</w:t>
      </w:r>
      <w:r>
        <w:rPr>
          <w:rFonts w:hint="eastAsia" w:ascii="仿宋_GB2312" w:eastAsia="仿宋_GB2312"/>
          <w:sz w:val="32"/>
          <w:szCs w:val="32"/>
        </w:rPr>
        <w:t xml:space="preserve"> 区市场监督管理局负责受理、初核、汇总有关申请资料，经审核合格后公示，公示无异议，兑付资金；</w:t>
      </w:r>
    </w:p>
    <w:p>
      <w:pPr>
        <w:keepNext w:val="0"/>
        <w:keepLines w:val="0"/>
        <w:pageBreakBefore w:val="0"/>
        <w:widowControl w:val="0"/>
        <w:kinsoku/>
        <w:wordWrap/>
        <w:overflowPunct/>
        <w:topLinePunct w:val="0"/>
        <w:autoSpaceDE/>
        <w:autoSpaceDN/>
        <w:bidi w:val="0"/>
        <w:adjustRightInd/>
        <w:snapToGrid/>
        <w:spacing w:line="600" w:lineRule="exact"/>
        <w:ind w:firstLine="601"/>
        <w:textAlignment w:val="auto"/>
        <w:rPr>
          <w:rFonts w:ascii="仿宋_GB2312" w:eastAsia="仿宋_GB2312"/>
          <w:sz w:val="32"/>
          <w:szCs w:val="32"/>
        </w:rPr>
      </w:pPr>
      <w:r>
        <w:rPr>
          <w:rFonts w:hint="eastAsia" w:ascii="仿宋_GB2312" w:hAnsi="仿宋" w:eastAsia="仿宋_GB2312" w:cs="宋体"/>
          <w:bCs/>
          <w:color w:val="000000"/>
          <w:sz w:val="32"/>
          <w:szCs w:val="32"/>
          <w:shd w:val="clear" w:color="auto" w:fill="FFFFFF"/>
        </w:rPr>
        <w:t>3.资金每年兑现一次，不在规定的时间内提出申请的，视为自动放弃资助。</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宋体"/>
          <w:bCs/>
          <w:color w:val="000000"/>
          <w:sz w:val="32"/>
          <w:szCs w:val="32"/>
        </w:rPr>
      </w:pPr>
      <w:r>
        <w:rPr>
          <w:rFonts w:hint="eastAsia" w:ascii="黑体" w:hAnsi="黑体" w:eastAsia="黑体" w:cs="宋体"/>
          <w:bCs/>
          <w:color w:val="000000"/>
          <w:sz w:val="32"/>
          <w:szCs w:val="32"/>
        </w:rPr>
        <w:t>第四章  专项资金管理与监督</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_GB2312" w:hAnsi="仿宋" w:eastAsia="仿宋_GB2312" w:cs="宋体"/>
          <w:color w:val="000000"/>
          <w:sz w:val="32"/>
          <w:szCs w:val="32"/>
        </w:rPr>
      </w:pPr>
      <w:r>
        <w:rPr>
          <w:rFonts w:hint="eastAsia" w:ascii="黑体" w:hAnsi="仿宋" w:eastAsia="黑体" w:cs="宋体"/>
          <w:bCs/>
          <w:color w:val="000000"/>
          <w:sz w:val="32"/>
          <w:szCs w:val="32"/>
        </w:rPr>
        <w:t>第十二条</w:t>
      </w:r>
      <w:r>
        <w:rPr>
          <w:rFonts w:hint="eastAsia" w:ascii="仿宋_GB2312" w:hAnsi="仿宋" w:eastAsia="仿宋_GB2312" w:cs="宋体"/>
          <w:color w:val="000000"/>
          <w:sz w:val="32"/>
          <w:szCs w:val="32"/>
        </w:rPr>
        <w:t xml:space="preserve">  区市场监督管理局根据知识产权事业发展规划，编制年度知识产权专项资金预算，报区政府审批。区财政局会同有关部门负责对资金使用、管理等情况进行监督、检查。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00"/>
        <w:textAlignment w:val="auto"/>
        <w:rPr>
          <w:rFonts w:ascii="仿宋_GB2312" w:hAnsi="仿宋" w:eastAsia="仿宋_GB2312" w:cs="宋体"/>
          <w:color w:val="000000"/>
          <w:sz w:val="32"/>
          <w:szCs w:val="32"/>
        </w:rPr>
      </w:pPr>
      <w:r>
        <w:rPr>
          <w:rFonts w:hint="eastAsia" w:ascii="黑体" w:hAnsi="仿宋" w:eastAsia="黑体" w:cs="宋体"/>
          <w:bCs/>
          <w:color w:val="000000"/>
          <w:sz w:val="32"/>
          <w:szCs w:val="32"/>
        </w:rPr>
        <w:t>第十三条</w:t>
      </w:r>
      <w:r>
        <w:rPr>
          <w:rFonts w:hint="eastAsia" w:ascii="仿宋_GB2312" w:hAnsi="仿宋" w:eastAsia="仿宋_GB2312" w:cs="宋体"/>
          <w:color w:val="000000"/>
          <w:sz w:val="32"/>
          <w:szCs w:val="32"/>
        </w:rPr>
        <w:t xml:space="preserve">  获得专项资金资助和支持的单位，应加强对专项资金的管理，实行独立核算、专款专用，确保发挥最大效益。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sz w:val="32"/>
          <w:szCs w:val="32"/>
        </w:rPr>
      </w:pPr>
      <w:r>
        <w:rPr>
          <w:rFonts w:hint="eastAsia" w:ascii="黑体" w:hAnsi="仿宋" w:eastAsia="黑体" w:cs="宋体"/>
          <w:bCs/>
          <w:color w:val="000000"/>
          <w:sz w:val="32"/>
          <w:szCs w:val="32"/>
        </w:rPr>
        <w:t>第十四条</w:t>
      </w:r>
      <w:r>
        <w:rPr>
          <w:rFonts w:hint="eastAsia" w:ascii="仿宋_GB2312" w:hAnsi="仿宋" w:eastAsia="仿宋_GB2312" w:cs="宋体"/>
          <w:color w:val="000000"/>
          <w:sz w:val="32"/>
          <w:szCs w:val="32"/>
        </w:rPr>
        <w:t xml:space="preserve">  申请专项资金资助的单位和个人，应提供真实的材料和凭据。对弄虚作假、骗取资助资金的，一经发现，全额追回已资助的资金，并将其纳入信用负面清单。被列入负面清单的单位或个人，两年内取消其区级所有专项资金申报资格。</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仿宋" w:eastAsia="黑体" w:cs="宋体"/>
          <w:bCs/>
          <w:color w:val="000000"/>
          <w:sz w:val="32"/>
          <w:szCs w:val="32"/>
        </w:rPr>
      </w:pPr>
      <w:r>
        <w:rPr>
          <w:rFonts w:hint="eastAsia" w:ascii="黑体" w:hAnsi="仿宋" w:eastAsia="黑体" w:cs="宋体"/>
          <w:bCs/>
          <w:color w:val="000000"/>
          <w:sz w:val="32"/>
          <w:szCs w:val="32"/>
        </w:rPr>
        <w:t>第五章</w:t>
      </w:r>
      <w:r>
        <w:rPr>
          <w:rFonts w:hint="eastAsia" w:ascii="黑体" w:hAnsi="仿宋" w:eastAsia="黑体" w:cs="宋体"/>
          <w:bCs/>
          <w:color w:val="000000"/>
          <w:sz w:val="32"/>
          <w:szCs w:val="32"/>
          <w:lang w:val="en-US" w:eastAsia="zh-CN"/>
        </w:rPr>
        <w:t xml:space="preserve"> </w:t>
      </w:r>
      <w:r>
        <w:rPr>
          <w:rFonts w:hint="eastAsia" w:ascii="黑体" w:hAnsi="仿宋" w:eastAsia="黑体" w:cs="宋体"/>
          <w:bCs/>
          <w:color w:val="000000"/>
          <w:sz w:val="32"/>
          <w:szCs w:val="32"/>
        </w:rPr>
        <w:t xml:space="preserve"> 附 则</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ascii="仿宋_GB2312" w:hAnsi="仿宋" w:eastAsia="仿宋_GB2312" w:cs="宋体"/>
          <w:color w:val="000000"/>
          <w:sz w:val="32"/>
          <w:szCs w:val="32"/>
        </w:rPr>
      </w:pPr>
      <w:r>
        <w:rPr>
          <w:rFonts w:hint="eastAsia" w:ascii="黑体" w:hAnsi="仿宋" w:eastAsia="黑体" w:cs="宋体"/>
          <w:bCs/>
          <w:color w:val="000000"/>
          <w:sz w:val="32"/>
          <w:szCs w:val="32"/>
        </w:rPr>
        <w:t>第十五条</w:t>
      </w:r>
      <w:r>
        <w:rPr>
          <w:rFonts w:hint="eastAsia" w:ascii="仿宋_GB2312" w:hAnsi="仿宋" w:eastAsia="仿宋_GB2312" w:cs="宋体"/>
          <w:color w:val="000000"/>
          <w:sz w:val="32"/>
          <w:szCs w:val="32"/>
        </w:rPr>
        <w:t xml:space="preserve">  本办法由区市场监督管理局负责解释。</w:t>
      </w:r>
      <w:r>
        <w:rPr>
          <w:rFonts w:hint="eastAsia" w:ascii="宋体" w:hAnsi="宋体" w:eastAsia="仿宋_GB2312" w:cs="宋体"/>
          <w:color w:val="000000"/>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16" w:firstLineChars="5"/>
        <w:textAlignment w:val="auto"/>
        <w:rPr>
          <w:rFonts w:hAnsi="仿宋" w:cs="宋体"/>
          <w:color w:val="000000"/>
          <w:szCs w:val="32"/>
        </w:rPr>
      </w:pPr>
      <w:r>
        <w:rPr>
          <w:rFonts w:hint="eastAsia" w:ascii="仿宋_GB2312" w:hAnsi="仿宋" w:eastAsia="仿宋_GB2312" w:cs="宋体"/>
          <w:color w:val="000000"/>
          <w:sz w:val="32"/>
          <w:szCs w:val="32"/>
        </w:rPr>
        <w:t xml:space="preserve">    </w:t>
      </w:r>
      <w:r>
        <w:rPr>
          <w:rFonts w:hint="eastAsia" w:ascii="黑体" w:hAnsi="仿宋" w:eastAsia="黑体" w:cs="宋体"/>
          <w:bCs/>
          <w:color w:val="000000"/>
          <w:sz w:val="32"/>
          <w:szCs w:val="32"/>
        </w:rPr>
        <w:t>第十六条</w:t>
      </w:r>
      <w:r>
        <w:rPr>
          <w:rFonts w:hint="eastAsia" w:ascii="仿宋_GB2312" w:hAnsi="仿宋" w:eastAsia="仿宋_GB2312" w:cs="宋体"/>
          <w:color w:val="000000"/>
          <w:sz w:val="32"/>
          <w:szCs w:val="32"/>
        </w:rPr>
        <w:t xml:space="preserve">  本办法自2021年10月1日起施行。有效期至2024年9月30日。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sectPr>
          <w:footerReference r:id="rId3" w:type="default"/>
          <w:pgSz w:w="11906" w:h="16838"/>
          <w:pgMar w:top="1984" w:right="1531" w:bottom="1531" w:left="1531" w:header="851" w:footer="1247"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 w:eastAsia="仿宋_GB2312" w:cs="宋体"/>
          <w:color w:val="000000"/>
          <w:sz w:val="32"/>
          <w:szCs w:val="32"/>
        </w:rPr>
      </w:pPr>
    </w:p>
    <w:p>
      <w:pPr>
        <w:pStyle w:val="8"/>
        <w:spacing w:before="0" w:beforeAutospacing="0" w:after="0" w:afterAutospacing="0" w:line="120" w:lineRule="exact"/>
        <w:rPr>
          <w:rFonts w:ascii="仿宋_GB2312" w:hAnsi="仿宋"/>
          <w:sz w:val="32"/>
          <w:szCs w:val="32"/>
        </w:rPr>
      </w:pPr>
    </w:p>
    <w:p>
      <w:pPr>
        <w:pStyle w:val="8"/>
        <w:spacing w:before="0" w:beforeAutospacing="0" w:after="0" w:afterAutospacing="0" w:line="120" w:lineRule="exact"/>
        <w:rPr>
          <w:rFonts w:ascii="仿宋_GB2312" w:hAnsi="仿宋"/>
          <w:sz w:val="32"/>
          <w:szCs w:val="32"/>
        </w:rPr>
      </w:pPr>
    </w:p>
    <w:p>
      <w:pPr>
        <w:pStyle w:val="8"/>
        <w:spacing w:before="0" w:beforeAutospacing="0" w:after="0" w:afterAutospacing="0" w:line="120" w:lineRule="exact"/>
        <w:rPr>
          <w:rFonts w:ascii="仿宋_GB2312" w:hAnsi="仿宋"/>
          <w:sz w:val="32"/>
          <w:szCs w:val="32"/>
        </w:rPr>
      </w:pPr>
    </w:p>
    <w:p>
      <w:pPr>
        <w:pStyle w:val="8"/>
        <w:spacing w:before="0" w:beforeAutospacing="0" w:after="0" w:afterAutospacing="0" w:line="120" w:lineRule="exact"/>
        <w:rPr>
          <w:rFonts w:ascii="仿宋_GB2312" w:hAnsi="仿宋"/>
          <w:sz w:val="32"/>
          <w:szCs w:val="32"/>
        </w:rPr>
      </w:pPr>
    </w:p>
    <w:p>
      <w:pPr>
        <w:pStyle w:val="8"/>
        <w:spacing w:before="0" w:beforeAutospacing="0" w:after="0" w:afterAutospacing="0" w:line="120" w:lineRule="exact"/>
        <w:rPr>
          <w:rFonts w:ascii="仿宋_GB2312" w:hAnsi="仿宋"/>
          <w:sz w:val="32"/>
          <w:szCs w:val="32"/>
        </w:rPr>
      </w:pPr>
    </w:p>
    <w:p>
      <w:pPr>
        <w:pStyle w:val="8"/>
        <w:spacing w:before="0" w:beforeAutospacing="0" w:after="0" w:afterAutospacing="0" w:line="120" w:lineRule="exact"/>
        <w:rPr>
          <w:rFonts w:ascii="仿宋_GB2312" w:hAnsi="仿宋"/>
          <w:sz w:val="32"/>
          <w:szCs w:val="32"/>
        </w:rPr>
      </w:pPr>
    </w:p>
    <w:p>
      <w:pPr>
        <w:pStyle w:val="8"/>
        <w:spacing w:before="0" w:beforeAutospacing="0" w:after="0" w:afterAutospacing="0" w:line="120" w:lineRule="exact"/>
        <w:rPr>
          <w:rFonts w:ascii="仿宋_GB2312" w:hAnsi="仿宋"/>
          <w:sz w:val="32"/>
          <w:szCs w:val="32"/>
        </w:rPr>
      </w:pPr>
    </w:p>
    <w:p>
      <w:pPr>
        <w:pStyle w:val="8"/>
        <w:spacing w:before="0" w:beforeAutospacing="0" w:after="0" w:afterAutospacing="0" w:line="120" w:lineRule="exact"/>
        <w:rPr>
          <w:rFonts w:ascii="仿宋_GB2312" w:hAnsi="仿宋"/>
          <w:sz w:val="32"/>
          <w:szCs w:val="32"/>
        </w:rPr>
      </w:pPr>
    </w:p>
    <w:p>
      <w:pPr>
        <w:pStyle w:val="8"/>
        <w:spacing w:before="0" w:beforeAutospacing="0" w:after="0" w:afterAutospacing="0" w:line="120" w:lineRule="exact"/>
        <w:rPr>
          <w:rFonts w:ascii="仿宋_GB2312" w:hAnsi="仿宋"/>
          <w:sz w:val="32"/>
          <w:szCs w:val="32"/>
        </w:rPr>
      </w:pPr>
    </w:p>
    <w:p>
      <w:pPr>
        <w:pStyle w:val="8"/>
        <w:spacing w:before="0" w:beforeAutospacing="0" w:after="0" w:afterAutospacing="0" w:line="120" w:lineRule="exact"/>
        <w:rPr>
          <w:rFonts w:ascii="仿宋_GB2312" w:hAnsi="仿宋"/>
          <w:sz w:val="32"/>
          <w:szCs w:val="32"/>
        </w:rPr>
      </w:pPr>
    </w:p>
    <w:p>
      <w:pPr>
        <w:pStyle w:val="8"/>
        <w:spacing w:before="0" w:beforeAutospacing="0" w:after="0" w:afterAutospacing="0" w:line="120" w:lineRule="exact"/>
        <w:rPr>
          <w:rFonts w:ascii="仿宋_GB2312" w:hAnsi="仿宋"/>
          <w:sz w:val="32"/>
          <w:szCs w:val="32"/>
        </w:rPr>
      </w:pPr>
    </w:p>
    <w:p>
      <w:pPr>
        <w:pStyle w:val="8"/>
        <w:spacing w:before="0" w:beforeAutospacing="0" w:after="0" w:afterAutospacing="0" w:line="120" w:lineRule="exact"/>
        <w:rPr>
          <w:rFonts w:ascii="仿宋_GB2312" w:hAnsi="仿宋"/>
          <w:sz w:val="32"/>
          <w:szCs w:val="32"/>
        </w:rPr>
      </w:pPr>
    </w:p>
    <w:p>
      <w:pPr>
        <w:pStyle w:val="8"/>
        <w:spacing w:before="0" w:beforeAutospacing="0" w:after="0" w:afterAutospacing="0" w:line="120" w:lineRule="exact"/>
        <w:rPr>
          <w:rFonts w:ascii="仿宋_GB2312" w:hAnsi="仿宋"/>
          <w:sz w:val="32"/>
          <w:szCs w:val="32"/>
        </w:rPr>
      </w:pPr>
    </w:p>
    <w:p>
      <w:pPr>
        <w:spacing w:line="560" w:lineRule="exact"/>
        <w:ind w:left="1" w:firstLine="280" w:firstLineChars="100"/>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59264;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GjIPXP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JTziwYuvC7Lz9v&#10;P3/7/esrrXc/vrNpEqn3WFLstV2H4w79OiTG+yaY9CcubJ+FPZyElfvIBB3O5vOLlxczzsS9r3hI&#10;9AHjG+kMS0bFtbKJM5Swe4uRilHofUg61pb1Fb+cTRMc0AA2dPFkGk8k0LY5F51W9Y3SOmVgaDfX&#10;OrAdpCHIX6JEuH+FpSIrwG6Iy65hPDoJ9Wtbs3jwJI+lV8FTC0bWnGlJjyhZBAhlBKXPiaTS2qYE&#10;mUf0yDNpPKiarI2rD3Q1Wx9U25Euk9xz8tAo5O6PY5tm7fGe7MdPd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GjIPXP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olor w:val="000000"/>
          <w:sz w:val="28"/>
          <w:szCs w:val="28"/>
        </w:rPr>
        <w:t>泰安市泰山区人民政府办公室              202</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25</w:t>
      </w:r>
      <w:r>
        <w:rPr>
          <w:rFonts w:hint="eastAsia" w:ascii="仿宋_GB2312" w:eastAsia="仿宋_GB2312"/>
          <w:color w:val="000000"/>
          <w:sz w:val="28"/>
          <w:szCs w:val="28"/>
        </w:rPr>
        <w:t xml:space="preserve">日印发  </w:t>
      </w:r>
    </w:p>
    <w:p>
      <w:pPr>
        <w:spacing w:line="240" w:lineRule="exact"/>
        <w:ind w:firstLine="640" w:firstLineChars="200"/>
        <w:rPr>
          <w:rFonts w:ascii="仿宋_GB2312" w:hAnsi="仿宋_GB2312" w:eastAsia="仿宋_GB2312" w:cs="仿宋_GB2312"/>
          <w:bCs/>
          <w:color w:val="000000"/>
          <w:sz w:val="32"/>
          <w:szCs w:val="32"/>
        </w:rPr>
      </w:pPr>
      <w:r>
        <w:rPr>
          <w:rFonts w:ascii="仿宋_GB2312"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05pt;width:446.7pt;z-index:251661312;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9YHA1AAAAAYBAAAPAAAAAAAAAAEAIAAAACIAAABkcnMvZG93bnJldi54bWxQ&#10;SwECFAAUAAAACACHTuJAs2wcTvsBAAD0AwAADgAAAAAAAAABACAAAAAjAQAAZHJzL2Uyb0RvYy54&#10;bWxQSwUGAAAAAAYABgBZAQAAkAUAAAAA&#10;">
                <v:fill on="f" focussize="0,0"/>
                <v:stroke color="#000000" joinstyle="round"/>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spacing w:line="80" w:lineRule="exact"/>
        <w:ind w:left="0" w:leftChars="0" w:firstLine="0" w:firstLineChars="0"/>
        <w:textAlignment w:val="auto"/>
        <w:rPr>
          <w:rFonts w:hint="eastAsia" w:ascii="仿宋_GB2312" w:hAnsi="仿宋_GB2312" w:eastAsia="仿宋_GB2312" w:cs="仿宋_GB2312"/>
          <w:kern w:val="0"/>
          <w:sz w:val="32"/>
          <w:szCs w:val="32"/>
          <w:lang w:val="en-US" w:eastAsia="zh-CN"/>
        </w:rPr>
      </w:pPr>
    </w:p>
    <w:sectPr>
      <w:footerReference r:id="rId4" w:type="default"/>
      <w:pgSz w:w="11906" w:h="16838"/>
      <w:pgMar w:top="1984" w:right="1531" w:bottom="1531" w:left="1531" w:header="851" w:footer="124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经典粗宋简">
    <w:panose1 w:val="02010609000101010101"/>
    <w:charset w:val="86"/>
    <w:family w:val="modern"/>
    <w:pitch w:val="default"/>
    <w:sig w:usb0="A1007AEF" w:usb1="F9DF7CFB" w:usb2="0000001E" w:usb3="00000000" w:csb0="20040000" w:csb1="00000000"/>
  </w:font>
  <w:font w:name="方正小标宋简体">
    <w:panose1 w:val="02010601030101010101"/>
    <w:charset w:val="86"/>
    <w:family w:val="auto"/>
    <w:pitch w:val="default"/>
    <w:sig w:usb0="00000001" w:usb1="080E0000" w:usb2="00000000" w:usb3="00000000" w:csb0="00040000" w:csb1="00000000"/>
  </w:font>
  <w:font w:name="inherit">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351"/>
    <w:rsid w:val="000642F6"/>
    <w:rsid w:val="00082D66"/>
    <w:rsid w:val="000D1D4D"/>
    <w:rsid w:val="001E47C2"/>
    <w:rsid w:val="00272C6D"/>
    <w:rsid w:val="002A67B2"/>
    <w:rsid w:val="00440D18"/>
    <w:rsid w:val="004E0ADE"/>
    <w:rsid w:val="004E1EBD"/>
    <w:rsid w:val="005D1E40"/>
    <w:rsid w:val="005D50F3"/>
    <w:rsid w:val="005E13CD"/>
    <w:rsid w:val="006F7351"/>
    <w:rsid w:val="008550F4"/>
    <w:rsid w:val="00863E02"/>
    <w:rsid w:val="008F6A1C"/>
    <w:rsid w:val="00966C20"/>
    <w:rsid w:val="00972063"/>
    <w:rsid w:val="00C3453A"/>
    <w:rsid w:val="00C52D1B"/>
    <w:rsid w:val="00DC79BB"/>
    <w:rsid w:val="00ED20E9"/>
    <w:rsid w:val="00EE7877"/>
    <w:rsid w:val="00F84233"/>
    <w:rsid w:val="00FA5C3A"/>
    <w:rsid w:val="00FD64E1"/>
    <w:rsid w:val="04B94D3B"/>
    <w:rsid w:val="0A091F9A"/>
    <w:rsid w:val="0C257EE2"/>
    <w:rsid w:val="11915A55"/>
    <w:rsid w:val="27191A00"/>
    <w:rsid w:val="49935201"/>
    <w:rsid w:val="4BAA3151"/>
    <w:rsid w:val="4F4E246C"/>
    <w:rsid w:val="59213252"/>
    <w:rsid w:val="6425126C"/>
    <w:rsid w:val="7D20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0"/>
    <w:pPr>
      <w:jc w:val="left"/>
    </w:pPr>
    <w:rPr>
      <w:rFonts w:ascii="仿宋_GB2312" w:eastAsia="仿宋_GB2312"/>
      <w:sz w:val="32"/>
    </w:rPr>
  </w:style>
  <w:style w:type="paragraph" w:styleId="3">
    <w:name w:val="Body Text"/>
    <w:basedOn w:val="1"/>
    <w:link w:val="16"/>
    <w:qFormat/>
    <w:uiPriority w:val="1"/>
    <w:rPr>
      <w:rFonts w:ascii="仿宋_GB2312" w:hAnsi="仿宋_GB2312" w:eastAsia="仿宋_GB2312" w:cs="仿宋_GB2312"/>
      <w:sz w:val="32"/>
      <w:szCs w:val="32"/>
      <w:lang w:val="zh-CN" w:bidi="zh-CN"/>
    </w:rPr>
  </w:style>
  <w:style w:type="paragraph" w:styleId="4">
    <w:name w:val="Body Text Indent"/>
    <w:basedOn w:val="1"/>
    <w:qFormat/>
    <w:uiPriority w:val="0"/>
    <w:pPr>
      <w:ind w:firstLine="560" w:firstLineChars="200"/>
    </w:pPr>
    <w:rPr>
      <w:sz w:val="28"/>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批注文字 Char"/>
    <w:basedOn w:val="10"/>
    <w:link w:val="2"/>
    <w:semiHidden/>
    <w:qFormat/>
    <w:uiPriority w:val="0"/>
    <w:rPr>
      <w:rFonts w:ascii="仿宋_GB2312" w:hAnsi="Times New Roman" w:eastAsia="仿宋_GB2312" w:cs="Times New Roman"/>
      <w:sz w:val="32"/>
      <w:szCs w:val="24"/>
    </w:rPr>
  </w:style>
  <w:style w:type="character" w:customStyle="1" w:styleId="14">
    <w:name w:val="样式2"/>
    <w:qFormat/>
    <w:uiPriority w:val="0"/>
    <w:rPr>
      <w:rFonts w:hint="eastAsia" w:ascii="仿宋_GB2312" w:eastAsia="仿宋_GB2312"/>
      <w:sz w:val="2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character" w:customStyle="1" w:styleId="16">
    <w:name w:val="正文文本 Char"/>
    <w:basedOn w:val="10"/>
    <w:link w:val="3"/>
    <w:qFormat/>
    <w:uiPriority w:val="1"/>
    <w:rPr>
      <w:rFonts w:ascii="仿宋_GB2312" w:hAnsi="仿宋_GB2312" w:eastAsia="仿宋_GB2312" w:cs="仿宋_GB2312"/>
      <w:sz w:val="32"/>
      <w:szCs w:val="3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1819</Words>
  <Characters>1864</Characters>
  <Lines>13</Lines>
  <Paragraphs>3</Paragraphs>
  <TotalTime>14</TotalTime>
  <ScaleCrop>false</ScaleCrop>
  <LinksUpToDate>false</LinksUpToDate>
  <CharactersWithSpaces>1952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2021-08-25T00:59:00Z</dcterms:created>
  <dc:creator>Lenovo</dc:creator>
  <cp:lastModifiedBy>泰山-松融雪</cp:lastModifiedBy>
  <cp:lastPrinted>2021-08-27T01:10:00Z</cp:lastPrinted>
  <dcterms:modified xsi:type="dcterms:W3CDTF">2021-09-03T07:26:40Z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0BAB0E910543443C9E904CCBE5C0AC40</vt:lpwstr>
  </property>
</Properties>
</file>