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E02F4">
      <w:pPr>
        <w:pStyle w:val="5"/>
        <w:spacing w:before="0" w:beforeAutospacing="0" w:after="0" w:afterAutospacing="0" w:line="240" w:lineRule="auto"/>
        <w:ind w:firstLine="0" w:firstLineChars="0"/>
        <w:jc w:val="center"/>
        <w:rPr>
          <w:rFonts w:hint="eastAsia" w:ascii="Times New Roman" w:hAnsi="Times New Roman" w:eastAsia="方正小标宋简体"/>
          <w:color w:val="auto"/>
          <w:spacing w:val="10"/>
          <w:sz w:val="44"/>
          <w:szCs w:val="44"/>
          <w:lang w:val="en-US" w:eastAsia="zh-CN"/>
        </w:rPr>
      </w:pPr>
      <w:r>
        <w:rPr>
          <w:rFonts w:hint="eastAsia" w:ascii="Times New Roman" w:hAnsi="Times New Roman" w:eastAsia="方正小标宋简体"/>
          <w:color w:val="auto"/>
          <w:spacing w:val="10"/>
          <w:sz w:val="44"/>
          <w:szCs w:val="44"/>
          <w:lang w:val="en-US" w:eastAsia="zh-CN"/>
        </w:rPr>
        <w:t>泰安市泰山区国有资产监督管理局</w:t>
      </w:r>
    </w:p>
    <w:p w14:paraId="10B168B7">
      <w:pPr>
        <w:pStyle w:val="5"/>
        <w:spacing w:before="0" w:beforeAutospacing="0" w:after="0" w:afterAutospacing="0" w:line="240" w:lineRule="auto"/>
        <w:ind w:firstLine="0" w:firstLineChars="0"/>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202</w:t>
      </w:r>
      <w:r>
        <w:rPr>
          <w:rFonts w:hint="default" w:ascii="Times New Roman" w:hAnsi="Times New Roman" w:eastAsia="方正小标宋简体"/>
          <w:color w:val="auto"/>
          <w:spacing w:val="10"/>
          <w:sz w:val="44"/>
          <w:szCs w:val="44"/>
          <w:lang w:val="en"/>
        </w:rPr>
        <w:t>4</w:t>
      </w:r>
      <w:r>
        <w:rPr>
          <w:rFonts w:ascii="Times New Roman" w:hAnsi="Times New Roman" w:eastAsia="方正小标宋简体"/>
          <w:color w:val="auto"/>
          <w:spacing w:val="10"/>
          <w:sz w:val="44"/>
          <w:szCs w:val="44"/>
        </w:rPr>
        <w:t>年政府信息公开工作年度报告</w:t>
      </w:r>
    </w:p>
    <w:p w14:paraId="3E1EE740">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14:paraId="43D9CFF4">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default" w:ascii="仿宋_GB2312" w:eastAsia="仿宋_GB2312"/>
          <w:color w:val="auto"/>
          <w:sz w:val="32"/>
          <w:szCs w:val="32"/>
          <w:lang w:val="en"/>
        </w:rPr>
        <w:t>4</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lang w:val="en"/>
        </w:rPr>
        <w:t>4</w:t>
      </w:r>
      <w:r>
        <w:rPr>
          <w:rFonts w:hint="eastAsia" w:ascii="仿宋_GB2312" w:eastAsia="仿宋_GB2312"/>
          <w:color w:val="auto"/>
          <w:sz w:val="32"/>
          <w:szCs w:val="32"/>
        </w:rPr>
        <w:t>年1月1日起至202</w:t>
      </w:r>
      <w:r>
        <w:rPr>
          <w:rFonts w:hint="default" w:ascii="仿宋_GB2312" w:eastAsia="仿宋_GB2312"/>
          <w:color w:val="auto"/>
          <w:sz w:val="32"/>
          <w:szCs w:val="32"/>
          <w:lang w:val="en"/>
        </w:rPr>
        <w:t>4</w:t>
      </w:r>
      <w:r>
        <w:rPr>
          <w:rFonts w:hint="eastAsia" w:ascii="仿宋_GB2312" w:eastAsia="仿宋_GB2312"/>
          <w:color w:val="auto"/>
          <w:sz w:val="32"/>
          <w:szCs w:val="32"/>
        </w:rPr>
        <w:t>年12月31日止。</w:t>
      </w:r>
    </w:p>
    <w:p w14:paraId="36D6BE44">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14:paraId="5A571C38">
      <w:pPr>
        <w:pStyle w:val="5"/>
        <w:spacing w:before="0" w:beforeAutospacing="0" w:after="0" w:afterAutospacing="0" w:line="600" w:lineRule="exact"/>
        <w:ind w:firstLine="640" w:firstLineChars="200"/>
        <w:jc w:val="both"/>
        <w:rPr>
          <w:rFonts w:ascii="仿宋_GB2312" w:eastAsia="仿宋_GB2312" w:hAnsiTheme="minorHAnsi" w:cstheme="minorBidi"/>
          <w:color w:val="auto"/>
          <w:kern w:val="2"/>
          <w:sz w:val="32"/>
          <w:szCs w:val="32"/>
          <w:lang w:val="en-US" w:eastAsia="zh-CN" w:bidi="ar-SA"/>
        </w:rPr>
      </w:pPr>
      <w:r>
        <w:rPr>
          <w:rFonts w:ascii="仿宋_GB2312" w:eastAsia="仿宋_GB2312" w:hAnsiTheme="minorHAnsi" w:cstheme="minorBidi"/>
          <w:color w:val="auto"/>
          <w:kern w:val="2"/>
          <w:sz w:val="32"/>
          <w:szCs w:val="32"/>
          <w:lang w:val="en-US" w:eastAsia="zh-CN" w:bidi="ar-SA"/>
        </w:rPr>
        <w:t>202</w:t>
      </w:r>
      <w:r>
        <w:rPr>
          <w:rFonts w:hint="eastAsia" w:ascii="仿宋_GB2312" w:eastAsia="仿宋_GB2312" w:hAnsiTheme="minorHAnsi" w:cstheme="minorBidi"/>
          <w:color w:val="auto"/>
          <w:kern w:val="2"/>
          <w:sz w:val="32"/>
          <w:szCs w:val="32"/>
          <w:lang w:val="en-US" w:eastAsia="zh-CN" w:bidi="ar-SA"/>
        </w:rPr>
        <w:t>4</w:t>
      </w:r>
      <w:r>
        <w:rPr>
          <w:rFonts w:ascii="仿宋_GB2312" w:eastAsia="仿宋_GB2312" w:hAnsiTheme="minorHAnsi" w:cstheme="minorBidi"/>
          <w:color w:val="auto"/>
          <w:kern w:val="2"/>
          <w:sz w:val="32"/>
          <w:szCs w:val="32"/>
          <w:lang w:val="en-US" w:eastAsia="zh-CN" w:bidi="ar-SA"/>
        </w:rPr>
        <w:t>年，区</w:t>
      </w:r>
      <w:r>
        <w:rPr>
          <w:rFonts w:hint="eastAsia" w:ascii="仿宋_GB2312" w:eastAsia="仿宋_GB2312" w:hAnsiTheme="minorHAnsi" w:cstheme="minorBidi"/>
          <w:color w:val="auto"/>
          <w:kern w:val="2"/>
          <w:sz w:val="32"/>
          <w:szCs w:val="32"/>
          <w:lang w:val="en-US" w:eastAsia="zh-CN" w:bidi="ar-SA"/>
        </w:rPr>
        <w:t>国资</w:t>
      </w:r>
      <w:r>
        <w:rPr>
          <w:rFonts w:ascii="仿宋_GB2312" w:eastAsia="仿宋_GB2312" w:hAnsiTheme="minorHAnsi" w:cstheme="minorBidi"/>
          <w:color w:val="auto"/>
          <w:kern w:val="2"/>
          <w:sz w:val="32"/>
          <w:szCs w:val="32"/>
          <w:lang w:val="en-US" w:eastAsia="zh-CN" w:bidi="ar-SA"/>
        </w:rPr>
        <w:t>局以习近平新时代中国特色社会主义思想为指导，按照区委、区政府的安排和统一部署，认真贯彻落实《中华人民共和国政府信息公开条例》要求，扎实推进政府信息公开各项工作。现将有关情况报告如下：</w:t>
      </w:r>
    </w:p>
    <w:p w14:paraId="6AFF2F9E">
      <w:pPr>
        <w:numPr>
          <w:ilvl w:val="0"/>
          <w:numId w:val="1"/>
        </w:numPr>
        <w:ind w:firstLine="643" w:firstLineChars="200"/>
        <w:rPr>
          <w:rFonts w:hint="default" w:ascii="仿宋_GB2312" w:eastAsia="仿宋_GB2312" w:hAnsiTheme="minorHAnsi" w:cstheme="minorBidi"/>
          <w:color w:val="auto"/>
          <w:kern w:val="2"/>
          <w:sz w:val="32"/>
          <w:szCs w:val="32"/>
          <w:lang w:val="en-US" w:eastAsia="zh-CN" w:bidi="ar-SA"/>
        </w:rPr>
      </w:pP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default" w:ascii="仿宋_GB2312" w:eastAsia="仿宋_GB2312" w:hAnsiTheme="minorHAnsi" w:cstheme="minorBidi"/>
          <w:color w:val="auto"/>
          <w:kern w:val="2"/>
          <w:sz w:val="32"/>
          <w:szCs w:val="32"/>
          <w:lang w:val="en-US" w:eastAsia="zh-CN" w:bidi="ar-SA"/>
        </w:rPr>
        <w:t>202</w:t>
      </w:r>
      <w:r>
        <w:rPr>
          <w:rFonts w:hint="eastAsia" w:ascii="仿宋_GB2312" w:eastAsia="仿宋_GB2312" w:cstheme="minorBidi"/>
          <w:color w:val="auto"/>
          <w:kern w:val="2"/>
          <w:sz w:val="32"/>
          <w:szCs w:val="32"/>
          <w:lang w:val="en-US" w:eastAsia="zh-CN" w:bidi="ar-SA"/>
        </w:rPr>
        <w:t>4</w:t>
      </w:r>
      <w:r>
        <w:rPr>
          <w:rFonts w:hint="default" w:ascii="仿宋_GB2312" w:eastAsia="仿宋_GB2312" w:hAnsiTheme="minorHAnsi" w:cstheme="minorBidi"/>
          <w:color w:val="auto"/>
          <w:kern w:val="2"/>
          <w:sz w:val="32"/>
          <w:szCs w:val="32"/>
          <w:lang w:val="en-US" w:eastAsia="zh-CN" w:bidi="ar-SA"/>
        </w:rPr>
        <w:t>年区国资局通过区政府信息公开平台及时</w:t>
      </w:r>
      <w:r>
        <w:rPr>
          <w:rFonts w:hint="eastAsia" w:ascii="仿宋_GB2312" w:eastAsia="仿宋_GB2312" w:cstheme="minorBidi"/>
          <w:color w:val="auto"/>
          <w:kern w:val="2"/>
          <w:sz w:val="32"/>
          <w:szCs w:val="32"/>
          <w:lang w:val="en-US" w:eastAsia="zh-CN" w:bidi="ar-SA"/>
        </w:rPr>
        <w:t>主动公开了机构职能、领导信息、机构设置、财政预决算、应急管理、政务公开工作、决策公开、执行公开、结果公开、区属国资国企信息等信息，全年主动</w:t>
      </w:r>
      <w:r>
        <w:rPr>
          <w:rFonts w:hint="default" w:ascii="仿宋_GB2312" w:eastAsia="仿宋_GB2312" w:hAnsiTheme="minorHAnsi" w:cstheme="minorBidi"/>
          <w:color w:val="auto"/>
          <w:kern w:val="2"/>
          <w:sz w:val="32"/>
          <w:szCs w:val="32"/>
          <w:lang w:val="en-US" w:eastAsia="zh-CN" w:bidi="ar-SA"/>
        </w:rPr>
        <w:t>公开更新信息</w:t>
      </w:r>
      <w:r>
        <w:rPr>
          <w:rFonts w:hint="eastAsia" w:ascii="仿宋_GB2312" w:eastAsia="仿宋_GB2312" w:cstheme="minorBidi"/>
          <w:color w:val="auto"/>
          <w:kern w:val="2"/>
          <w:sz w:val="32"/>
          <w:szCs w:val="32"/>
          <w:lang w:val="en-US" w:eastAsia="zh-CN" w:bidi="ar-SA"/>
        </w:rPr>
        <w:t>56</w:t>
      </w:r>
      <w:r>
        <w:rPr>
          <w:rFonts w:hint="default" w:ascii="仿宋_GB2312" w:eastAsia="仿宋_GB2312" w:hAnsiTheme="minorHAnsi" w:cstheme="minorBidi"/>
          <w:color w:val="auto"/>
          <w:kern w:val="2"/>
          <w:sz w:val="32"/>
          <w:szCs w:val="32"/>
          <w:lang w:val="en-US" w:eastAsia="zh-CN" w:bidi="ar-SA"/>
        </w:rPr>
        <w:t>条。</w:t>
      </w:r>
    </w:p>
    <w:p w14:paraId="6BA367FF">
      <w:pPr>
        <w:numPr>
          <w:ilvl w:val="0"/>
          <w:numId w:val="0"/>
        </w:numPr>
        <w:ind w:firstLine="643" w:firstLineChars="200"/>
        <w:rPr>
          <w:rFonts w:hint="default" w:ascii="仿宋_GB2312" w:eastAsia="仿宋_GB2312" w:cstheme="minorBidi"/>
          <w:color w:val="auto"/>
          <w:kern w:val="2"/>
          <w:sz w:val="32"/>
          <w:szCs w:val="32"/>
          <w:lang w:val="en-US" w:eastAsia="zh-CN" w:bidi="ar-SA"/>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eastAsia="仿宋_GB2312" w:cstheme="minorBidi"/>
          <w:color w:val="auto"/>
          <w:kern w:val="2"/>
          <w:sz w:val="32"/>
          <w:szCs w:val="32"/>
          <w:lang w:val="en-US" w:eastAsia="zh-CN" w:bidi="ar-SA"/>
        </w:rPr>
        <w:t>2024年</w:t>
      </w:r>
      <w:r>
        <w:rPr>
          <w:rFonts w:hint="default" w:ascii="仿宋_GB2312" w:eastAsia="仿宋_GB2312" w:hAnsiTheme="minorHAnsi" w:cstheme="minorBidi"/>
          <w:color w:val="auto"/>
          <w:kern w:val="2"/>
          <w:sz w:val="32"/>
          <w:szCs w:val="32"/>
          <w:lang w:val="en-US" w:eastAsia="zh-CN" w:bidi="ar-SA"/>
        </w:rPr>
        <w:t>区国资局收到0条政府信息公开申请。</w:t>
      </w:r>
      <w:r>
        <w:rPr>
          <w:rFonts w:hint="eastAsia" w:ascii="仿宋_GB2312" w:eastAsia="仿宋_GB2312" w:cstheme="minorBidi"/>
          <w:color w:val="auto"/>
          <w:kern w:val="2"/>
          <w:sz w:val="32"/>
          <w:szCs w:val="32"/>
          <w:lang w:val="en-US" w:eastAsia="zh-CN" w:bidi="ar-SA"/>
        </w:rPr>
        <w:t>结转下年度继续办理0件，申请数量与去年持平。信息公开类行政复议0件，诉讼0件。2024年未收取政府信息公开信息处理费。</w:t>
      </w:r>
    </w:p>
    <w:p w14:paraId="23BB87E1">
      <w:pPr>
        <w:pStyle w:val="5"/>
        <w:keepNext w:val="0"/>
        <w:keepLines w:val="0"/>
        <w:widowControl/>
        <w:suppressLineNumbers w:val="0"/>
        <w:spacing w:before="0" w:beforeAutospacing="0" w:after="0" w:afterAutospacing="0" w:line="420" w:lineRule="atLeast"/>
        <w:ind w:right="0" w:firstLine="643" w:firstLineChars="200"/>
        <w:jc w:val="left"/>
        <w:rPr>
          <w:rFonts w:hint="default" w:ascii="仿宋_GB2312" w:eastAsia="仿宋_GB2312" w:hAnsiTheme="minorHAnsi" w:cstheme="minorBidi"/>
          <w:color w:val="FF0000"/>
          <w:kern w:val="2"/>
          <w:sz w:val="32"/>
          <w:szCs w:val="32"/>
          <w:lang w:val="en-US" w:eastAsia="zh-CN" w:bidi="ar-SA"/>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仿宋_GB2312" w:eastAsia="仿宋_GB2312" w:hAnsiTheme="minorHAnsi" w:cstheme="minorBidi"/>
          <w:color w:val="auto"/>
          <w:kern w:val="2"/>
          <w:sz w:val="32"/>
          <w:szCs w:val="32"/>
          <w:lang w:val="en-US" w:eastAsia="zh-CN" w:bidi="ar-SA"/>
        </w:rPr>
        <w:t>严格落实政府信息公开“三审”制度，确保公开信息的准确性、完整性和安全性，避免出现信息泄密、不实信息发布等问题。</w:t>
      </w:r>
      <w:r>
        <w:rPr>
          <w:rFonts w:hint="eastAsia" w:ascii="仿宋_GB2312" w:eastAsia="仿宋_GB2312" w:hAnsiTheme="minorHAnsi" w:cstheme="minorBidi"/>
          <w:color w:val="auto"/>
          <w:kern w:val="2"/>
          <w:sz w:val="32"/>
          <w:szCs w:val="32"/>
          <w:lang w:val="en-US" w:eastAsia="zh-CN" w:bidi="ar-SA"/>
        </w:rPr>
        <w:t>落实定期检查、公开前保密审查、政务公开业务培训等制度，确保政务公开工作质量要求</w:t>
      </w:r>
      <w:bookmarkStart w:id="10" w:name="_GoBack"/>
      <w:bookmarkEnd w:id="10"/>
      <w:r>
        <w:rPr>
          <w:rFonts w:hint="eastAsia" w:ascii="仿宋_GB2312" w:eastAsia="仿宋_GB2312" w:hAnsiTheme="minorHAnsi" w:cstheme="minorBidi"/>
          <w:color w:val="auto"/>
          <w:kern w:val="2"/>
          <w:sz w:val="32"/>
          <w:szCs w:val="32"/>
          <w:lang w:val="en-US" w:eastAsia="zh-CN" w:bidi="ar-SA"/>
        </w:rPr>
        <w:t>。</w:t>
      </w:r>
    </w:p>
    <w:p w14:paraId="168B9483">
      <w:pPr>
        <w:ind w:firstLine="643" w:firstLineChars="200"/>
        <w:rPr>
          <w:rFonts w:hint="default" w:ascii="仿宋_GB2312" w:eastAsia="仿宋_GB2312" w:hAnsiTheme="minorHAnsi" w:cstheme="minorBidi"/>
          <w:color w:val="auto"/>
          <w:kern w:val="2"/>
          <w:sz w:val="32"/>
          <w:szCs w:val="32"/>
          <w:lang w:val="en" w:eastAsia="zh-CN" w:bidi="ar-SA"/>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仿宋_GB2312" w:eastAsia="仿宋_GB2312" w:hAnsiTheme="minorHAnsi" w:cstheme="minorBidi"/>
          <w:color w:val="auto"/>
          <w:kern w:val="2"/>
          <w:sz w:val="32"/>
          <w:szCs w:val="32"/>
          <w:lang w:val="en-US" w:eastAsia="zh-CN" w:bidi="ar-SA"/>
        </w:rPr>
        <w:t>2024年泰山区国资局</w:t>
      </w:r>
      <w:r>
        <w:rPr>
          <w:rFonts w:hint="default" w:ascii="仿宋_GB2312" w:eastAsia="仿宋_GB2312" w:hAnsiTheme="minorHAnsi" w:cstheme="minorBidi"/>
          <w:color w:val="auto"/>
          <w:kern w:val="2"/>
          <w:sz w:val="32"/>
          <w:szCs w:val="32"/>
          <w:lang w:val="en-US" w:eastAsia="zh-CN" w:bidi="ar-SA"/>
        </w:rPr>
        <w:t>严格按照上级要求，及时、准确在泰山区政府信息公开专栏发布相关重点工作信息，确保政府信息公开工作依法有序开展。</w:t>
      </w:r>
    </w:p>
    <w:p w14:paraId="1A6B64DB">
      <w:pPr>
        <w:ind w:firstLine="643" w:firstLineChars="200"/>
        <w:rPr>
          <w:rFonts w:hint="default" w:ascii="仿宋_GB2312" w:eastAsia="仿宋_GB2312"/>
          <w:color w:val="auto"/>
          <w:sz w:val="32"/>
          <w:szCs w:val="32"/>
          <w:lang w:val="en"/>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default" w:ascii="仿宋_GB2312" w:eastAsia="仿宋_GB2312" w:hAnsiTheme="minorHAnsi" w:cstheme="minorBidi"/>
          <w:color w:val="auto"/>
          <w:kern w:val="2"/>
          <w:sz w:val="32"/>
          <w:szCs w:val="32"/>
          <w:lang w:val="en-US" w:eastAsia="zh-CN" w:bidi="ar-SA"/>
        </w:rPr>
        <w:t>为切实加强和扎实推进政府信息公开工作，</w:t>
      </w:r>
      <w:r>
        <w:rPr>
          <w:rFonts w:hint="eastAsia" w:ascii="仿宋_GB2312" w:eastAsia="仿宋_GB2312" w:cstheme="minorBidi"/>
          <w:color w:val="auto"/>
          <w:kern w:val="2"/>
          <w:sz w:val="32"/>
          <w:szCs w:val="32"/>
          <w:lang w:val="en-US" w:eastAsia="zh-CN" w:bidi="ar-SA"/>
        </w:rPr>
        <w:t>安排专职人员从事国资局</w:t>
      </w:r>
      <w:r>
        <w:rPr>
          <w:rFonts w:hint="default" w:ascii="仿宋_GB2312" w:eastAsia="仿宋_GB2312" w:hAnsiTheme="minorHAnsi" w:cstheme="minorBidi"/>
          <w:color w:val="auto"/>
          <w:kern w:val="2"/>
          <w:sz w:val="32"/>
          <w:szCs w:val="32"/>
          <w:lang w:val="en-US" w:eastAsia="zh-CN" w:bidi="ar-SA"/>
        </w:rPr>
        <w:t>政府信息公开工作，组织召开相关工作人员专题培训及业务学习交流活动</w:t>
      </w:r>
      <w:r>
        <w:rPr>
          <w:rFonts w:hint="eastAsia" w:ascii="仿宋_GB2312" w:eastAsia="仿宋_GB2312" w:cstheme="minorBidi"/>
          <w:color w:val="auto"/>
          <w:kern w:val="2"/>
          <w:sz w:val="32"/>
          <w:szCs w:val="32"/>
          <w:lang w:val="en-US" w:eastAsia="zh-CN" w:bidi="ar-SA"/>
        </w:rPr>
        <w:t>，</w:t>
      </w:r>
      <w:r>
        <w:rPr>
          <w:rFonts w:hint="default" w:ascii="仿宋_GB2312" w:eastAsia="仿宋_GB2312" w:hAnsiTheme="minorHAnsi" w:cstheme="minorBidi"/>
          <w:color w:val="auto"/>
          <w:kern w:val="2"/>
          <w:sz w:val="32"/>
          <w:szCs w:val="32"/>
          <w:lang w:val="en-US" w:eastAsia="zh-CN" w:bidi="ar-SA"/>
        </w:rPr>
        <w:t>严格按照《条例》规定，对全局政府信息公开工作的各个环节作了明确规定，推动信息公开工作有序、有效开展。</w:t>
      </w:r>
    </w:p>
    <w:p w14:paraId="01301627">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14:paraId="2B7E3D13">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14:paraId="7FA8FA3B">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3E5790D0">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0E6AAF3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A45B39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3AFE0EC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71FC18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70B55DC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5BB5058">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2508957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1767D733">
            <w:pPr>
              <w:widowControl/>
              <w:tabs>
                <w:tab w:val="center" w:pos="1010"/>
              </w:tabs>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73C25F0C">
            <w:pPr>
              <w:widowControl/>
              <w:tabs>
                <w:tab w:val="center" w:pos="1010"/>
              </w:tabs>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3B811191">
            <w:pPr>
              <w:widowControl/>
              <w:tabs>
                <w:tab w:val="left" w:pos="571"/>
              </w:tabs>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63005923">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B9F7F1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5B580FFA">
            <w:pPr>
              <w:widowControl/>
              <w:tabs>
                <w:tab w:val="center" w:pos="1010"/>
              </w:tabs>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7FDB177B">
            <w:pPr>
              <w:widowControl/>
              <w:tabs>
                <w:tab w:val="center" w:pos="1010"/>
              </w:tabs>
              <w:jc w:val="center"/>
              <w:rPr>
                <w:rFonts w:hint="default" w:ascii="仿宋_GB2312" w:hAnsi="宋体" w:eastAsia="仿宋_GB2312" w:cs="宋体"/>
                <w:color w:val="auto"/>
                <w:kern w:val="0"/>
                <w:szCs w:val="21"/>
                <w:lang w:val="en-US" w:eastAsia="zh-CN"/>
              </w:rPr>
            </w:pPr>
            <w:r>
              <w:rPr>
                <w:rFonts w:hint="eastAsia" w:ascii="仿宋_GB2312" w:hAnsi="宋体" w:eastAsia="仿宋_GB2312" w:cs="宋体"/>
                <w:color w:val="auto"/>
                <w:kern w:val="0"/>
                <w:szCs w:val="21"/>
                <w:lang w:val="en-US" w:eastAsia="zh-CN"/>
              </w:rPr>
              <w:t>3</w:t>
            </w:r>
          </w:p>
        </w:tc>
        <w:tc>
          <w:tcPr>
            <w:tcW w:w="1250" w:type="pct"/>
            <w:tcBorders>
              <w:top w:val="nil"/>
              <w:left w:val="nil"/>
              <w:bottom w:val="single" w:color="auto" w:sz="8" w:space="0"/>
              <w:right w:val="single" w:color="auto" w:sz="8" w:space="0"/>
            </w:tcBorders>
            <w:shd w:val="clear" w:color="auto" w:fill="auto"/>
            <w:vAlign w:val="center"/>
          </w:tcPr>
          <w:p w14:paraId="6071D0FF">
            <w:pPr>
              <w:widowControl/>
              <w:tabs>
                <w:tab w:val="center" w:pos="1010"/>
              </w:tabs>
              <w:jc w:val="center"/>
              <w:rPr>
                <w:rFonts w:hint="default" w:ascii="仿宋_GB2312" w:hAnsi="Calibri" w:eastAsia="仿宋_GB2312" w:cs="Calibri"/>
                <w:color w:val="auto"/>
                <w:kern w:val="0"/>
                <w:szCs w:val="21"/>
                <w:lang w:val="en-US" w:eastAsia="zh-CN"/>
              </w:rPr>
            </w:pPr>
            <w:r>
              <w:rPr>
                <w:rFonts w:hint="eastAsia" w:ascii="仿宋_GB2312" w:hAnsi="Calibri" w:eastAsia="仿宋_GB2312" w:cs="Calibri"/>
                <w:color w:val="auto"/>
                <w:kern w:val="0"/>
                <w:szCs w:val="21"/>
                <w:lang w:val="en-US" w:eastAsia="zh-CN"/>
              </w:rPr>
              <w:t>2</w:t>
            </w:r>
          </w:p>
        </w:tc>
      </w:tr>
      <w:tr w14:paraId="405C1D12">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1FBD7C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23503FF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2169F6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186114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816BAF4">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493D10F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4C033C7E">
            <w:pPr>
              <w:widowControl/>
              <w:tabs>
                <w:tab w:val="left" w:pos="2453"/>
              </w:tabs>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4835D72C">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EB37E0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29EBB97B">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03102D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0219B2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33BE43B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669B16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58C647B0">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5F22DA66">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B63DE3A">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1A8C4CE3">
            <w:pPr>
              <w:widowControl/>
              <w:jc w:val="left"/>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rPr>
              <w:t>　</w:t>
            </w:r>
            <w:r>
              <w:rPr>
                <w:rFonts w:hint="eastAsia" w:ascii="仿宋_GB2312" w:hAnsi="宋体" w:eastAsia="仿宋_GB2312" w:cs="宋体"/>
                <w:color w:val="000000"/>
                <w:kern w:val="0"/>
                <w:szCs w:val="21"/>
                <w:lang w:val="en-US" w:eastAsia="zh-CN"/>
              </w:rPr>
              <w:t>0</w:t>
            </w:r>
          </w:p>
        </w:tc>
      </w:tr>
      <w:tr w14:paraId="4101024F">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0C3D8C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F9EB191">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78C3AE2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D59A45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7C9DC40">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8765994">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DDEFEF1">
            <w:pPr>
              <w:widowControl/>
              <w:jc w:val="left"/>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rPr>
              <w:t>　</w:t>
            </w:r>
            <w:r>
              <w:rPr>
                <w:rFonts w:hint="eastAsia" w:ascii="仿宋_GB2312" w:hAnsi="Calibri" w:eastAsia="仿宋_GB2312" w:cs="Calibri"/>
                <w:color w:val="000000"/>
                <w:kern w:val="0"/>
                <w:szCs w:val="21"/>
                <w:lang w:val="en-US" w:eastAsia="zh-CN"/>
              </w:rPr>
              <w:t>0</w:t>
            </w:r>
          </w:p>
        </w:tc>
      </w:tr>
    </w:tbl>
    <w:p w14:paraId="3E97D2A1">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14:paraId="65788090">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5370F0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2771BD2D">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200F8C84">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4B8E907B">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744A67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0F6BFEB">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095C2BFA">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1810F9B7">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64DD7F51">
            <w:pPr>
              <w:widowControl/>
              <w:jc w:val="center"/>
              <w:rPr>
                <w:rFonts w:ascii="黑体" w:hAnsi="黑体" w:eastAsia="黑体"/>
                <w:szCs w:val="21"/>
              </w:rPr>
            </w:pPr>
            <w:r>
              <w:rPr>
                <w:rFonts w:hint="eastAsia" w:ascii="黑体" w:hAnsi="黑体" w:eastAsia="黑体"/>
                <w:kern w:val="0"/>
                <w:szCs w:val="21"/>
              </w:rPr>
              <w:t>总计</w:t>
            </w:r>
          </w:p>
        </w:tc>
      </w:tr>
      <w:tr w14:paraId="5634A88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4BACC4D8">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7324B1E4">
            <w:pPr>
              <w:jc w:val="center"/>
              <w:rPr>
                <w:rFonts w:ascii="黑体" w:hAnsi="黑体" w:eastAsia="黑体"/>
                <w:szCs w:val="21"/>
              </w:rPr>
            </w:pPr>
          </w:p>
        </w:tc>
        <w:tc>
          <w:tcPr>
            <w:tcW w:w="567" w:type="dxa"/>
            <w:shd w:val="clear" w:color="auto" w:fill="auto"/>
            <w:tcMar>
              <w:left w:w="108" w:type="dxa"/>
              <w:right w:w="108" w:type="dxa"/>
            </w:tcMar>
            <w:vAlign w:val="center"/>
          </w:tcPr>
          <w:p w14:paraId="146F84C1">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7BCA1EF4">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63435B74">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6F3169D">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5B7BBA5C">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44347E4">
            <w:pPr>
              <w:jc w:val="center"/>
              <w:rPr>
                <w:rFonts w:ascii="仿宋_GB2312" w:hAnsi="Times New Roman" w:eastAsia="仿宋_GB2312"/>
                <w:szCs w:val="21"/>
              </w:rPr>
            </w:pPr>
          </w:p>
        </w:tc>
      </w:tr>
      <w:tr w14:paraId="13B60F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59FCE760">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2CB70CE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C4395F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315227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963ADE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D8A9B9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65CAF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926C68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0B08C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D7A11A4">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793BB44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BA90B3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4E1105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40C95E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ABF2A9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2453F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62FEC1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4E82F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241039AA">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64FE223B">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1BA6CB2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27DF9C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427E8E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C85598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452B84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AA99B4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4B270B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2F981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42AA3B9">
            <w:pPr>
              <w:rPr>
                <w:rFonts w:ascii="黑体" w:hAnsi="黑体" w:eastAsia="黑体"/>
                <w:szCs w:val="21"/>
              </w:rPr>
            </w:pPr>
          </w:p>
        </w:tc>
        <w:tc>
          <w:tcPr>
            <w:tcW w:w="4677" w:type="dxa"/>
            <w:gridSpan w:val="2"/>
            <w:shd w:val="clear" w:color="auto" w:fill="auto"/>
            <w:tcMar>
              <w:left w:w="108" w:type="dxa"/>
              <w:right w:w="108" w:type="dxa"/>
            </w:tcMar>
            <w:vAlign w:val="center"/>
          </w:tcPr>
          <w:p w14:paraId="39DB950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7865337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E3A8DE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A1720D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679058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519BF8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5A535B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208AEE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C19D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51A8CC1">
            <w:pPr>
              <w:rPr>
                <w:rFonts w:ascii="黑体" w:hAnsi="黑体" w:eastAsia="黑体"/>
                <w:szCs w:val="21"/>
              </w:rPr>
            </w:pPr>
          </w:p>
        </w:tc>
        <w:tc>
          <w:tcPr>
            <w:tcW w:w="1701" w:type="dxa"/>
            <w:vMerge w:val="restart"/>
            <w:shd w:val="clear" w:color="auto" w:fill="auto"/>
            <w:tcMar>
              <w:left w:w="108" w:type="dxa"/>
              <w:right w:w="108" w:type="dxa"/>
            </w:tcMar>
            <w:vAlign w:val="center"/>
          </w:tcPr>
          <w:p w14:paraId="058533B4">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12E23253">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5B950EEB">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21AB0A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A54AC2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790821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05DB4F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C4D99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C9E0BD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E3C75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826ECFA">
            <w:pPr>
              <w:rPr>
                <w:rFonts w:ascii="黑体" w:hAnsi="黑体" w:eastAsia="黑体"/>
                <w:szCs w:val="21"/>
              </w:rPr>
            </w:pPr>
          </w:p>
        </w:tc>
        <w:tc>
          <w:tcPr>
            <w:tcW w:w="1701" w:type="dxa"/>
            <w:vMerge w:val="continue"/>
            <w:shd w:val="clear" w:color="auto" w:fill="auto"/>
            <w:tcMar>
              <w:left w:w="108" w:type="dxa"/>
              <w:right w:w="108" w:type="dxa"/>
            </w:tcMar>
            <w:vAlign w:val="center"/>
          </w:tcPr>
          <w:p w14:paraId="772D03B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7F41394">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CBC4F3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711038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848BA8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F2D09B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CE3893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E41428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C84BC8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6D3F4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648D946">
            <w:pPr>
              <w:rPr>
                <w:rFonts w:ascii="黑体" w:hAnsi="黑体" w:eastAsia="黑体"/>
                <w:szCs w:val="21"/>
              </w:rPr>
            </w:pPr>
          </w:p>
        </w:tc>
        <w:tc>
          <w:tcPr>
            <w:tcW w:w="1701" w:type="dxa"/>
            <w:vMerge w:val="continue"/>
            <w:shd w:val="clear" w:color="auto" w:fill="auto"/>
            <w:tcMar>
              <w:left w:w="108" w:type="dxa"/>
              <w:right w:w="108" w:type="dxa"/>
            </w:tcMar>
            <w:vAlign w:val="center"/>
          </w:tcPr>
          <w:p w14:paraId="1B5EA93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C705873">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699F884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A7E2A9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2760A2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DB3973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8BE5D7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FC7D02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69D990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BD036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D2EE859">
            <w:pPr>
              <w:rPr>
                <w:rFonts w:ascii="黑体" w:hAnsi="黑体" w:eastAsia="黑体"/>
                <w:szCs w:val="21"/>
              </w:rPr>
            </w:pPr>
          </w:p>
        </w:tc>
        <w:tc>
          <w:tcPr>
            <w:tcW w:w="1701" w:type="dxa"/>
            <w:vMerge w:val="continue"/>
            <w:shd w:val="clear" w:color="auto" w:fill="auto"/>
            <w:tcMar>
              <w:left w:w="108" w:type="dxa"/>
              <w:right w:w="108" w:type="dxa"/>
            </w:tcMar>
            <w:vAlign w:val="center"/>
          </w:tcPr>
          <w:p w14:paraId="28F8849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4309BB7">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7A764370">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8B4047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E40FB2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2A18FB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B1013E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40E4B7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B81BB0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40C69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5020482">
            <w:pPr>
              <w:rPr>
                <w:rFonts w:ascii="黑体" w:hAnsi="黑体" w:eastAsia="黑体"/>
                <w:szCs w:val="21"/>
              </w:rPr>
            </w:pPr>
          </w:p>
        </w:tc>
        <w:tc>
          <w:tcPr>
            <w:tcW w:w="1701" w:type="dxa"/>
            <w:vMerge w:val="continue"/>
            <w:shd w:val="clear" w:color="auto" w:fill="auto"/>
            <w:tcMar>
              <w:left w:w="108" w:type="dxa"/>
              <w:right w:w="108" w:type="dxa"/>
            </w:tcMar>
            <w:vAlign w:val="center"/>
          </w:tcPr>
          <w:p w14:paraId="4CDD5B6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7E3AAAD">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15110DF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150801B">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A14D71E">
            <w:pPr>
              <w:widowControl/>
              <w:spacing w:after="180"/>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3327D0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E41076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92A3AA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9654F5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040180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359B205">
            <w:pPr>
              <w:rPr>
                <w:rFonts w:ascii="黑体" w:hAnsi="黑体" w:eastAsia="黑体"/>
                <w:szCs w:val="21"/>
              </w:rPr>
            </w:pPr>
          </w:p>
        </w:tc>
        <w:tc>
          <w:tcPr>
            <w:tcW w:w="1701" w:type="dxa"/>
            <w:vMerge w:val="continue"/>
            <w:shd w:val="clear" w:color="auto" w:fill="auto"/>
            <w:tcMar>
              <w:left w:w="108" w:type="dxa"/>
              <w:right w:w="108" w:type="dxa"/>
            </w:tcMar>
            <w:vAlign w:val="center"/>
          </w:tcPr>
          <w:p w14:paraId="505743CF">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74818F0">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57BDD549">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49C947A">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04904E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57FDF6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390D0A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9A3FAD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CD2426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358BE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43A376E">
            <w:pPr>
              <w:rPr>
                <w:rFonts w:ascii="黑体" w:hAnsi="黑体" w:eastAsia="黑体"/>
                <w:szCs w:val="21"/>
              </w:rPr>
            </w:pPr>
          </w:p>
        </w:tc>
        <w:tc>
          <w:tcPr>
            <w:tcW w:w="1701" w:type="dxa"/>
            <w:vMerge w:val="continue"/>
            <w:shd w:val="clear" w:color="auto" w:fill="auto"/>
            <w:tcMar>
              <w:left w:w="108" w:type="dxa"/>
              <w:right w:w="108" w:type="dxa"/>
            </w:tcMar>
            <w:vAlign w:val="center"/>
          </w:tcPr>
          <w:p w14:paraId="057F301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F164AED">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2425DFFD">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AE83F8E">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F18EE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1031E4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D490AF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BF5F6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0CEAF0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3AFA8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1D2B0B">
            <w:pPr>
              <w:rPr>
                <w:rFonts w:ascii="黑体" w:hAnsi="黑体" w:eastAsia="黑体"/>
                <w:szCs w:val="21"/>
              </w:rPr>
            </w:pPr>
          </w:p>
        </w:tc>
        <w:tc>
          <w:tcPr>
            <w:tcW w:w="1701" w:type="dxa"/>
            <w:vMerge w:val="continue"/>
            <w:shd w:val="clear" w:color="auto" w:fill="auto"/>
            <w:tcMar>
              <w:left w:w="108" w:type="dxa"/>
              <w:right w:w="108" w:type="dxa"/>
            </w:tcMar>
            <w:vAlign w:val="center"/>
          </w:tcPr>
          <w:p w14:paraId="0E2AD0F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56E31CE">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F48FAA2">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E241833">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F520D8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FE5605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6CE0C1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1CCFD3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040CC8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37810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1CA6C7C">
            <w:pPr>
              <w:rPr>
                <w:rFonts w:ascii="黑体" w:hAnsi="黑体" w:eastAsia="黑体"/>
                <w:szCs w:val="21"/>
              </w:rPr>
            </w:pPr>
          </w:p>
        </w:tc>
        <w:tc>
          <w:tcPr>
            <w:tcW w:w="1701" w:type="dxa"/>
            <w:vMerge w:val="restart"/>
            <w:shd w:val="clear" w:color="auto" w:fill="auto"/>
            <w:tcMar>
              <w:left w:w="108" w:type="dxa"/>
              <w:right w:w="108" w:type="dxa"/>
            </w:tcMar>
            <w:vAlign w:val="center"/>
          </w:tcPr>
          <w:p w14:paraId="68497AD9">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52A09D3F">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5954853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1802A4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B9319A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24578E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15CEC9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779BF3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42FAD8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C2DF1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E7364B9">
            <w:pPr>
              <w:rPr>
                <w:rFonts w:ascii="黑体" w:hAnsi="黑体" w:eastAsia="黑体"/>
                <w:szCs w:val="21"/>
              </w:rPr>
            </w:pPr>
          </w:p>
        </w:tc>
        <w:tc>
          <w:tcPr>
            <w:tcW w:w="1701" w:type="dxa"/>
            <w:vMerge w:val="continue"/>
            <w:shd w:val="clear" w:color="auto" w:fill="auto"/>
            <w:tcMar>
              <w:left w:w="108" w:type="dxa"/>
              <w:right w:w="108" w:type="dxa"/>
            </w:tcMar>
            <w:vAlign w:val="center"/>
          </w:tcPr>
          <w:p w14:paraId="283F63CD">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7CCBCCA1">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6A7740B0">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6A8F14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DFCE4D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86A69B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6E693A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D55B8D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F0517D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4512F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9EA4BB0">
            <w:pPr>
              <w:rPr>
                <w:rFonts w:ascii="黑体" w:hAnsi="黑体" w:eastAsia="黑体"/>
                <w:szCs w:val="21"/>
              </w:rPr>
            </w:pPr>
          </w:p>
        </w:tc>
        <w:tc>
          <w:tcPr>
            <w:tcW w:w="1701" w:type="dxa"/>
            <w:vMerge w:val="continue"/>
            <w:shd w:val="clear" w:color="auto" w:fill="auto"/>
            <w:tcMar>
              <w:left w:w="108" w:type="dxa"/>
              <w:right w:w="108" w:type="dxa"/>
            </w:tcMar>
            <w:vAlign w:val="center"/>
          </w:tcPr>
          <w:p w14:paraId="71F0079B">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475D4320">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7A940ACE">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BC4B85C">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2AF702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2AF457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F0390A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7FDD68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03855D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6649EF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DB6B852">
            <w:pPr>
              <w:rPr>
                <w:rFonts w:ascii="黑体" w:hAnsi="黑体" w:eastAsia="黑体"/>
                <w:szCs w:val="21"/>
              </w:rPr>
            </w:pPr>
          </w:p>
        </w:tc>
        <w:tc>
          <w:tcPr>
            <w:tcW w:w="1701" w:type="dxa"/>
            <w:vMerge w:val="restart"/>
            <w:shd w:val="clear" w:color="auto" w:fill="auto"/>
            <w:tcMar>
              <w:left w:w="108" w:type="dxa"/>
              <w:right w:w="108" w:type="dxa"/>
            </w:tcMar>
            <w:vAlign w:val="center"/>
          </w:tcPr>
          <w:p w14:paraId="1EF76268">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07325DBA">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40E02F99">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E22618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0919A3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04E217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4C0251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DB0AA7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9EE6F6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4F7A7B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26FF6A5">
            <w:pPr>
              <w:rPr>
                <w:rFonts w:ascii="黑体" w:hAnsi="黑体" w:eastAsia="黑体"/>
                <w:szCs w:val="21"/>
              </w:rPr>
            </w:pPr>
          </w:p>
        </w:tc>
        <w:tc>
          <w:tcPr>
            <w:tcW w:w="1701" w:type="dxa"/>
            <w:vMerge w:val="continue"/>
            <w:shd w:val="clear" w:color="auto" w:fill="auto"/>
            <w:tcMar>
              <w:left w:w="108" w:type="dxa"/>
              <w:right w:w="108" w:type="dxa"/>
            </w:tcMar>
            <w:vAlign w:val="center"/>
          </w:tcPr>
          <w:p w14:paraId="35C9855F">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F5F09CD">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4CCBF3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A4BE784">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513C20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C8A7BB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721DB5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CCD43F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A56020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9BE83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FA6D99A">
            <w:pPr>
              <w:rPr>
                <w:rFonts w:ascii="黑体" w:hAnsi="黑体" w:eastAsia="黑体"/>
                <w:szCs w:val="21"/>
              </w:rPr>
            </w:pPr>
          </w:p>
        </w:tc>
        <w:tc>
          <w:tcPr>
            <w:tcW w:w="1701" w:type="dxa"/>
            <w:vMerge w:val="continue"/>
            <w:shd w:val="clear" w:color="auto" w:fill="auto"/>
            <w:tcMar>
              <w:left w:w="108" w:type="dxa"/>
              <w:right w:w="108" w:type="dxa"/>
            </w:tcMar>
            <w:vAlign w:val="center"/>
          </w:tcPr>
          <w:p w14:paraId="624327E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66DA253">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7F0B77C4">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8EE178C">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4DC623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CA9FF8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0CD808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88DA4B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010BBE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7061C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1637F6DC">
            <w:pPr>
              <w:rPr>
                <w:rFonts w:ascii="黑体" w:hAnsi="黑体" w:eastAsia="黑体"/>
                <w:szCs w:val="21"/>
              </w:rPr>
            </w:pPr>
          </w:p>
        </w:tc>
        <w:tc>
          <w:tcPr>
            <w:tcW w:w="1701" w:type="dxa"/>
            <w:vMerge w:val="continue"/>
            <w:shd w:val="clear" w:color="auto" w:fill="auto"/>
            <w:tcMar>
              <w:left w:w="108" w:type="dxa"/>
              <w:right w:w="108" w:type="dxa"/>
            </w:tcMar>
            <w:vAlign w:val="center"/>
          </w:tcPr>
          <w:p w14:paraId="3D9A1D9E">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EE79897">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7D52C059">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1F0F20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3E61F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F58E691">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3D35B64">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F38AC2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B7FABD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55B720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0A94C76">
            <w:pPr>
              <w:rPr>
                <w:rFonts w:ascii="黑体" w:hAnsi="黑体" w:eastAsia="黑体"/>
                <w:szCs w:val="21"/>
              </w:rPr>
            </w:pPr>
          </w:p>
        </w:tc>
        <w:tc>
          <w:tcPr>
            <w:tcW w:w="1701" w:type="dxa"/>
            <w:vMerge w:val="continue"/>
            <w:shd w:val="clear" w:color="auto" w:fill="auto"/>
            <w:tcMar>
              <w:left w:w="108" w:type="dxa"/>
              <w:right w:w="108" w:type="dxa"/>
            </w:tcMar>
            <w:vAlign w:val="center"/>
          </w:tcPr>
          <w:p w14:paraId="79A52AB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977A4EC">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1FBC47F3">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4B66210A">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57C5CBA">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20545F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F9DE8E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53D538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643580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C1003E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581B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E847C29">
            <w:pPr>
              <w:rPr>
                <w:rFonts w:ascii="黑体" w:hAnsi="黑体" w:eastAsia="黑体"/>
                <w:szCs w:val="21"/>
              </w:rPr>
            </w:pPr>
          </w:p>
        </w:tc>
        <w:tc>
          <w:tcPr>
            <w:tcW w:w="1701" w:type="dxa"/>
            <w:vMerge w:val="restart"/>
            <w:shd w:val="clear" w:color="auto" w:fill="auto"/>
            <w:tcMar>
              <w:left w:w="108" w:type="dxa"/>
              <w:right w:w="108" w:type="dxa"/>
            </w:tcMar>
            <w:vAlign w:val="center"/>
          </w:tcPr>
          <w:p w14:paraId="27B64063">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4D63AD01">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130BA2E1">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866C17E">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4D1E5B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8DC1B36">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A559B3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AD3A44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CC6353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760598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097071FF">
            <w:pPr>
              <w:rPr>
                <w:rFonts w:ascii="黑体" w:hAnsi="黑体" w:eastAsia="黑体"/>
                <w:szCs w:val="21"/>
              </w:rPr>
            </w:pPr>
          </w:p>
        </w:tc>
        <w:tc>
          <w:tcPr>
            <w:tcW w:w="1701" w:type="dxa"/>
            <w:vMerge w:val="continue"/>
            <w:shd w:val="clear" w:color="auto" w:fill="auto"/>
            <w:tcMar>
              <w:left w:w="108" w:type="dxa"/>
              <w:right w:w="108" w:type="dxa"/>
            </w:tcMar>
            <w:vAlign w:val="center"/>
          </w:tcPr>
          <w:p w14:paraId="22D58546">
            <w:pPr>
              <w:widowControl/>
              <w:spacing w:line="300" w:lineRule="exact"/>
              <w:rPr>
                <w:rFonts w:ascii="黑体" w:hAnsi="黑体" w:eastAsia="黑体"/>
                <w:kern w:val="0"/>
                <w:szCs w:val="21"/>
              </w:rPr>
            </w:pPr>
          </w:p>
        </w:tc>
        <w:tc>
          <w:tcPr>
            <w:tcW w:w="2976" w:type="dxa"/>
            <w:shd w:val="clear" w:color="auto" w:fill="auto"/>
            <w:vAlign w:val="center"/>
          </w:tcPr>
          <w:p w14:paraId="238E11C5">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53DBF0AC">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B6B965C">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DA661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16B517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86BAAF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6AEE8F9">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3F30E1D">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707C7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2038910">
            <w:pPr>
              <w:rPr>
                <w:rFonts w:ascii="黑体" w:hAnsi="黑体" w:eastAsia="黑体"/>
                <w:szCs w:val="21"/>
              </w:rPr>
            </w:pPr>
          </w:p>
        </w:tc>
        <w:tc>
          <w:tcPr>
            <w:tcW w:w="1701" w:type="dxa"/>
            <w:vMerge w:val="continue"/>
            <w:shd w:val="clear" w:color="auto" w:fill="auto"/>
            <w:tcMar>
              <w:left w:w="108" w:type="dxa"/>
              <w:right w:w="108" w:type="dxa"/>
            </w:tcMar>
            <w:vAlign w:val="center"/>
          </w:tcPr>
          <w:p w14:paraId="552AC69D">
            <w:pPr>
              <w:widowControl/>
              <w:spacing w:line="300" w:lineRule="exact"/>
              <w:rPr>
                <w:rFonts w:ascii="黑体" w:hAnsi="黑体" w:eastAsia="黑体"/>
                <w:kern w:val="0"/>
                <w:szCs w:val="21"/>
              </w:rPr>
            </w:pPr>
          </w:p>
        </w:tc>
        <w:tc>
          <w:tcPr>
            <w:tcW w:w="2976" w:type="dxa"/>
            <w:shd w:val="clear" w:color="auto" w:fill="auto"/>
            <w:vAlign w:val="center"/>
          </w:tcPr>
          <w:p w14:paraId="3D19C73B">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60DBA315">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059B9A2">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03F8065">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BBE4EE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AF10C82">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8895E5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128B4B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E719D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99BDD66">
            <w:pPr>
              <w:rPr>
                <w:rFonts w:ascii="黑体" w:hAnsi="黑体" w:eastAsia="黑体"/>
                <w:szCs w:val="21"/>
              </w:rPr>
            </w:pPr>
          </w:p>
        </w:tc>
        <w:tc>
          <w:tcPr>
            <w:tcW w:w="4677" w:type="dxa"/>
            <w:gridSpan w:val="2"/>
            <w:shd w:val="clear" w:color="auto" w:fill="auto"/>
            <w:tcMar>
              <w:left w:w="108" w:type="dxa"/>
              <w:right w:w="108" w:type="dxa"/>
            </w:tcMar>
            <w:vAlign w:val="center"/>
          </w:tcPr>
          <w:p w14:paraId="191FF68F">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371C12C7">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2CDD80B">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728F9D7">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32DE1CF">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825FF8B">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693AA80">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4BD26C8">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2145B4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77D3BDC2">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2072AC8">
            <w:pPr>
              <w:widowControl/>
              <w:spacing w:after="180" w:line="200" w:lineRule="exact"/>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71C4F3E">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B35EFB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9EC4EA3">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C9F2BFA">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B25256E">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31970DC">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bl>
    <w:p w14:paraId="4C0ED890">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14:paraId="30414DAD">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2B7CC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09F5741">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C851436">
            <w:pPr>
              <w:widowControl/>
              <w:jc w:val="center"/>
              <w:rPr>
                <w:rFonts w:ascii="黑体" w:hAnsi="黑体" w:eastAsia="黑体"/>
              </w:rPr>
            </w:pPr>
            <w:r>
              <w:rPr>
                <w:rFonts w:ascii="黑体" w:hAnsi="黑体" w:eastAsia="黑体"/>
                <w:kern w:val="0"/>
                <w:sz w:val="20"/>
                <w:szCs w:val="20"/>
              </w:rPr>
              <w:t>行政诉讼</w:t>
            </w:r>
          </w:p>
        </w:tc>
      </w:tr>
      <w:tr w14:paraId="55A72D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CFD5768">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27980942">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9B6A75C">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E46423C">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AADA647">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70731CC4">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6DCF97">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1FDD1060">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1341B38">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6BC57E">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5205DA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BEFC649">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36B5774C">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344CF7">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B29449">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D48A51">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DFD6D51">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6A6174">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FC69B7">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5A1D042D">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4795B6">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284465A6">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2363D5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6D79547">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06A7451">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7E444A8D">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36C3287">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26CE1ADB">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682362E">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C07E0CF">
            <w:pPr>
              <w:widowControl/>
              <w:jc w:val="center"/>
              <w:rPr>
                <w:rFonts w:ascii="黑体" w:hAnsi="黑体" w:eastAsia="黑体"/>
              </w:rPr>
            </w:pPr>
            <w:r>
              <w:rPr>
                <w:rFonts w:ascii="黑体" w:hAnsi="黑体" w:eastAsia="黑体"/>
                <w:kern w:val="0"/>
                <w:sz w:val="20"/>
                <w:szCs w:val="20"/>
              </w:rPr>
              <w:t>总计</w:t>
            </w:r>
          </w:p>
        </w:tc>
      </w:tr>
      <w:tr w14:paraId="5D3C23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5E9C2C8">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A9CD89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63A5E54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74F8D2C">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699DBB82">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1E26743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00FEB1E">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0DEB089">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F9ED98">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6894046">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140ECA6">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7710644">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03FDEFF">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336C027C">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ACE06CD">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14:paraId="538235F8">
      <w:pPr>
        <w:pStyle w:val="5"/>
        <w:keepNext w:val="0"/>
        <w:keepLines w:val="0"/>
        <w:widowControl/>
        <w:numPr>
          <w:ilvl w:val="0"/>
          <w:numId w:val="2"/>
        </w:numPr>
        <w:suppressLineNumbers w:val="0"/>
        <w:spacing w:before="0" w:beforeAutospacing="0" w:after="0" w:afterAutospacing="0" w:line="240" w:lineRule="auto"/>
        <w:ind w:right="0" w:rightChars="0" w:firstLine="640" w:firstLineChars="200"/>
        <w:jc w:val="left"/>
        <w:rPr>
          <w:rFonts w:hint="eastAsia" w:ascii="黑体" w:hAnsi="黑体" w:eastAsia="黑体"/>
          <w:color w:val="auto"/>
          <w:sz w:val="32"/>
          <w:szCs w:val="32"/>
          <w:lang w:eastAsia="zh-CN"/>
        </w:rPr>
      </w:pPr>
      <w:r>
        <w:rPr>
          <w:rFonts w:ascii="黑体" w:hAnsi="黑体" w:eastAsia="黑体"/>
          <w:color w:val="auto"/>
          <w:sz w:val="32"/>
          <w:szCs w:val="32"/>
        </w:rPr>
        <w:t>存在的主要问题及改进情况</w:t>
      </w:r>
      <w:r>
        <w:rPr>
          <w:rFonts w:hint="eastAsia" w:ascii="黑体" w:hAnsi="黑体" w:eastAsia="黑体"/>
          <w:color w:val="auto"/>
          <w:sz w:val="32"/>
          <w:szCs w:val="32"/>
          <w:lang w:eastAsia="zh-CN"/>
        </w:rPr>
        <w:t>。</w:t>
      </w:r>
    </w:p>
    <w:p w14:paraId="5E252951">
      <w:pPr>
        <w:pStyle w:val="5"/>
        <w:keepNext w:val="0"/>
        <w:keepLines w:val="0"/>
        <w:widowControl/>
        <w:numPr>
          <w:ilvl w:val="0"/>
          <w:numId w:val="0"/>
        </w:numPr>
        <w:suppressLineNumbers w:val="0"/>
        <w:spacing w:before="0" w:beforeAutospacing="0" w:after="0" w:afterAutospacing="0" w:line="240" w:lineRule="auto"/>
        <w:ind w:right="0" w:rightChars="0" w:firstLine="640" w:firstLineChars="200"/>
        <w:jc w:val="left"/>
        <w:rPr>
          <w:rFonts w:hint="eastAsia"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一是区属企业政务公开工作人员专业能力和业务水平有待提高。二是个别政务信息未做到第一时间及时公开。</w:t>
      </w:r>
    </w:p>
    <w:p w14:paraId="6C6C591C">
      <w:pPr>
        <w:pStyle w:val="5"/>
        <w:keepNext w:val="0"/>
        <w:keepLines w:val="0"/>
        <w:widowControl/>
        <w:numPr>
          <w:ilvl w:val="0"/>
          <w:numId w:val="0"/>
        </w:numPr>
        <w:suppressLineNumbers w:val="0"/>
        <w:spacing w:before="0" w:beforeAutospacing="0" w:after="0" w:afterAutospacing="0" w:line="240" w:lineRule="auto"/>
        <w:ind w:right="0" w:rightChars="0" w:firstLine="640" w:firstLineChars="200"/>
        <w:jc w:val="left"/>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改进措施：一是督导区属企业积极参加区政务公开服务中心举办的业务培训，同时举办区属企业内部业务培训，进一步提升工作人员的专业能力和业务水平。二是安排专人负责政务公开工作，按照泰安市泰山区国有资产监督管理局主动公开事项目录（2024年版）中的科室分工，及时提醒责任科室提报、审核政务信息，做到第一时间更新政务信息。</w:t>
      </w:r>
    </w:p>
    <w:p w14:paraId="2B944B88">
      <w:pPr>
        <w:pStyle w:val="5"/>
        <w:spacing w:before="0" w:beforeAutospacing="0" w:after="0" w:afterAutospacing="0" w:line="600" w:lineRule="exact"/>
        <w:ind w:firstLine="640" w:firstLineChars="200"/>
        <w:jc w:val="both"/>
        <w:rPr>
          <w:rFonts w:ascii="仿宋_GB2312" w:eastAsia="仿宋_GB2312"/>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14:paraId="4266EEDF">
      <w:pPr>
        <w:pStyle w:val="5"/>
        <w:keepNext w:val="0"/>
        <w:keepLines w:val="0"/>
        <w:widowControl/>
        <w:suppressLineNumbers w:val="0"/>
        <w:spacing w:before="0" w:beforeAutospacing="0" w:after="0" w:afterAutospacing="0" w:line="240" w:lineRule="auto"/>
        <w:ind w:left="0" w:right="0" w:firstLine="640" w:firstLineChars="200"/>
        <w:jc w:val="left"/>
        <w:rPr>
          <w:rFonts w:hint="default" w:ascii="仿宋_GB2312" w:eastAsia="仿宋_GB2312" w:hAnsiTheme="minorHAnsi" w:cstheme="minorBidi"/>
          <w:color w:val="auto"/>
          <w:kern w:val="2"/>
          <w:sz w:val="32"/>
          <w:szCs w:val="32"/>
          <w:lang w:val="en-US" w:eastAsia="zh-CN" w:bidi="ar-SA"/>
        </w:rPr>
      </w:pPr>
      <w:r>
        <w:rPr>
          <w:rFonts w:hint="eastAsia" w:ascii="仿宋_GB2312" w:eastAsia="仿宋_GB2312" w:hAnsiTheme="minorHAnsi" w:cstheme="minorBidi"/>
          <w:color w:val="auto"/>
          <w:kern w:val="2"/>
          <w:sz w:val="32"/>
          <w:szCs w:val="32"/>
          <w:lang w:val="en-US" w:eastAsia="zh-CN" w:bidi="ar-SA"/>
        </w:rPr>
        <w:t>1.</w:t>
      </w:r>
      <w:r>
        <w:rPr>
          <w:rFonts w:hint="default" w:ascii="仿宋_GB2312" w:eastAsia="仿宋_GB2312" w:hAnsiTheme="minorHAnsi" w:cstheme="minorBidi"/>
          <w:color w:val="auto"/>
          <w:kern w:val="2"/>
          <w:sz w:val="32"/>
          <w:szCs w:val="32"/>
          <w:lang w:val="en-US" w:eastAsia="zh-CN" w:bidi="ar-SA"/>
        </w:rPr>
        <w:t>依据《政府信息公开信息处理费管理办法》收取信息处理费的情况。202</w:t>
      </w:r>
      <w:r>
        <w:rPr>
          <w:rFonts w:hint="eastAsia" w:ascii="仿宋_GB2312" w:eastAsia="仿宋_GB2312" w:hAnsiTheme="minorHAnsi" w:cstheme="minorBidi"/>
          <w:color w:val="auto"/>
          <w:kern w:val="2"/>
          <w:sz w:val="32"/>
          <w:szCs w:val="32"/>
          <w:lang w:val="en-US" w:eastAsia="zh-CN" w:bidi="ar-SA"/>
        </w:rPr>
        <w:t>4</w:t>
      </w:r>
      <w:r>
        <w:rPr>
          <w:rFonts w:hint="default" w:ascii="仿宋_GB2312" w:eastAsia="仿宋_GB2312" w:hAnsiTheme="minorHAnsi" w:cstheme="minorBidi"/>
          <w:color w:val="auto"/>
          <w:kern w:val="2"/>
          <w:sz w:val="32"/>
          <w:szCs w:val="32"/>
          <w:lang w:val="en-US" w:eastAsia="zh-CN" w:bidi="ar-SA"/>
        </w:rPr>
        <w:t>年泰山区国资局无收取信息处理费的事项。</w:t>
      </w:r>
    </w:p>
    <w:p w14:paraId="04324789">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2.本行政机关落实上级年度政务公开工作要点情况</w:t>
      </w:r>
      <w:r>
        <w:rPr>
          <w:rFonts w:hint="eastAsia" w:ascii="仿宋_GB2312" w:eastAsia="仿宋_GB2312"/>
          <w:color w:val="auto"/>
          <w:sz w:val="32"/>
          <w:szCs w:val="32"/>
          <w:lang w:eastAsia="zh-CN"/>
        </w:rPr>
        <w:t>。</w:t>
      </w:r>
      <w:r>
        <w:rPr>
          <w:rFonts w:hint="default" w:ascii="仿宋_GB2312" w:eastAsia="仿宋_GB2312" w:hAnsiTheme="minorHAnsi" w:cstheme="minorBidi"/>
          <w:color w:val="auto"/>
          <w:kern w:val="2"/>
          <w:sz w:val="32"/>
          <w:szCs w:val="32"/>
          <w:lang w:val="en-US" w:eastAsia="zh-CN" w:bidi="ar-SA"/>
        </w:rPr>
        <w:t>202</w:t>
      </w:r>
      <w:r>
        <w:rPr>
          <w:rFonts w:hint="eastAsia" w:ascii="仿宋_GB2312" w:eastAsia="仿宋_GB2312" w:cstheme="minorBidi"/>
          <w:color w:val="auto"/>
          <w:kern w:val="2"/>
          <w:sz w:val="32"/>
          <w:szCs w:val="32"/>
          <w:lang w:val="en-US" w:eastAsia="zh-CN" w:bidi="ar-SA"/>
        </w:rPr>
        <w:t>4</w:t>
      </w:r>
      <w:r>
        <w:rPr>
          <w:rFonts w:hint="default" w:ascii="仿宋_GB2312" w:eastAsia="仿宋_GB2312" w:hAnsiTheme="minorHAnsi" w:cstheme="minorBidi"/>
          <w:color w:val="auto"/>
          <w:kern w:val="2"/>
          <w:sz w:val="32"/>
          <w:szCs w:val="32"/>
          <w:lang w:val="en-US" w:eastAsia="zh-CN" w:bidi="ar-SA"/>
        </w:rPr>
        <w:t>年，区</w:t>
      </w:r>
      <w:r>
        <w:rPr>
          <w:rFonts w:hint="eastAsia" w:ascii="仿宋_GB2312" w:eastAsia="仿宋_GB2312" w:cstheme="minorBidi"/>
          <w:color w:val="auto"/>
          <w:kern w:val="2"/>
          <w:sz w:val="32"/>
          <w:szCs w:val="32"/>
          <w:lang w:val="en-US" w:eastAsia="zh-CN" w:bidi="ar-SA"/>
        </w:rPr>
        <w:t>国资局按</w:t>
      </w:r>
      <w:r>
        <w:rPr>
          <w:rFonts w:hint="eastAsia" w:ascii="仿宋_GB2312" w:eastAsia="仿宋_GB2312"/>
          <w:color w:val="auto"/>
          <w:sz w:val="32"/>
          <w:szCs w:val="32"/>
          <w:lang w:val="en-US" w:eastAsia="zh-CN"/>
        </w:rPr>
        <w:t>照</w:t>
      </w:r>
      <w:r>
        <w:rPr>
          <w:rFonts w:hint="default" w:ascii="仿宋_GB2312" w:eastAsia="仿宋_GB2312"/>
          <w:color w:val="auto"/>
          <w:sz w:val="32"/>
          <w:szCs w:val="32"/>
        </w:rPr>
        <w:t>上级年度政务公开工作要点相关要求</w:t>
      </w:r>
      <w:r>
        <w:rPr>
          <w:rFonts w:hint="eastAsia" w:ascii="仿宋_GB2312" w:eastAsia="仿宋_GB2312"/>
          <w:color w:val="auto"/>
          <w:sz w:val="32"/>
          <w:szCs w:val="32"/>
          <w:lang w:eastAsia="zh-CN"/>
        </w:rPr>
        <w:t>，</w:t>
      </w:r>
      <w:r>
        <w:rPr>
          <w:rFonts w:hint="default" w:ascii="仿宋_GB2312" w:eastAsia="仿宋_GB2312" w:hAnsiTheme="minorHAnsi" w:cstheme="minorBidi"/>
          <w:color w:val="auto"/>
          <w:kern w:val="2"/>
          <w:sz w:val="32"/>
          <w:szCs w:val="32"/>
          <w:lang w:val="en-US" w:eastAsia="zh-CN" w:bidi="ar-SA"/>
        </w:rPr>
        <w:t>安排专人进行信息更新维护，认真抓好落实，确保各项信息及时、有序公开。</w:t>
      </w:r>
    </w:p>
    <w:p w14:paraId="413DF0C5">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3.本行政机关人大代表建议和政协提案办理结果公开情况</w:t>
      </w:r>
      <w:r>
        <w:rPr>
          <w:rFonts w:hint="eastAsia" w:ascii="仿宋_GB2312" w:eastAsia="仿宋_GB2312"/>
          <w:color w:val="auto"/>
          <w:sz w:val="32"/>
          <w:szCs w:val="32"/>
          <w:lang w:val="en-US" w:eastAsia="zh-CN"/>
        </w:rPr>
        <w:t>。</w:t>
      </w:r>
      <w:r>
        <w:rPr>
          <w:rFonts w:hint="eastAsia" w:ascii="仿宋_GB2312" w:eastAsia="仿宋_GB2312"/>
          <w:color w:val="auto"/>
          <w:sz w:val="32"/>
          <w:szCs w:val="32"/>
        </w:rPr>
        <w:t>2024年泰山区国资局</w:t>
      </w:r>
      <w:r>
        <w:rPr>
          <w:rFonts w:hint="default" w:ascii="仿宋_GB2312" w:eastAsia="仿宋_GB2312"/>
          <w:color w:val="auto"/>
          <w:sz w:val="32"/>
          <w:szCs w:val="32"/>
        </w:rPr>
        <w:t>共承办人大建议3条、政协提案0条</w:t>
      </w:r>
      <w:r>
        <w:rPr>
          <w:rFonts w:hint="eastAsia" w:ascii="仿宋_GB2312" w:eastAsia="仿宋_GB2312"/>
          <w:color w:val="auto"/>
          <w:sz w:val="32"/>
          <w:szCs w:val="32"/>
          <w:lang w:eastAsia="zh-CN"/>
        </w:rPr>
        <w:t>，答复率</w:t>
      </w:r>
      <w:r>
        <w:rPr>
          <w:rFonts w:hint="eastAsia" w:ascii="仿宋_GB2312" w:eastAsia="仿宋_GB2312"/>
          <w:color w:val="auto"/>
          <w:sz w:val="32"/>
          <w:szCs w:val="32"/>
          <w:lang w:val="en-US" w:eastAsia="zh-CN"/>
        </w:rPr>
        <w:t>100%</w:t>
      </w:r>
      <w:r>
        <w:rPr>
          <w:rFonts w:hint="default" w:ascii="仿宋_GB2312" w:eastAsia="仿宋_GB2312"/>
          <w:color w:val="auto"/>
          <w:sz w:val="32"/>
          <w:szCs w:val="32"/>
        </w:rPr>
        <w:t>。根据要求及时将人大议案办理复文在泰山区人民政府门户网站进行了主动公开，接受社会监督。</w:t>
      </w:r>
    </w:p>
    <w:p w14:paraId="34FB420E">
      <w:pPr>
        <w:ind w:firstLine="640" w:firstLineChars="200"/>
        <w:rPr>
          <w:rFonts w:hint="eastAsia" w:ascii="仿宋_GB2312" w:eastAsia="仿宋_GB2312"/>
          <w:color w:val="FF0000"/>
          <w:sz w:val="32"/>
          <w:szCs w:val="32"/>
          <w:lang w:eastAsia="zh-CN"/>
        </w:rPr>
      </w:pPr>
      <w:r>
        <w:rPr>
          <w:rFonts w:hint="eastAsia" w:ascii="仿宋_GB2312" w:eastAsia="仿宋_GB2312"/>
          <w:color w:val="auto"/>
          <w:sz w:val="32"/>
          <w:szCs w:val="32"/>
          <w:lang w:eastAsia="zh-CN"/>
        </w:rPr>
        <w:t>4.本行政机关年度政务公开</w:t>
      </w:r>
      <w:r>
        <w:rPr>
          <w:rFonts w:hint="eastAsia" w:ascii="仿宋_GB2312" w:eastAsia="仿宋_GB2312"/>
          <w:color w:val="auto"/>
          <w:sz w:val="32"/>
          <w:szCs w:val="32"/>
          <w:lang w:eastAsia="zh-CN"/>
        </w:rPr>
        <w:t>工作创新情况</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定期组织</w:t>
      </w:r>
      <w:r>
        <w:rPr>
          <w:rFonts w:hint="eastAsia" w:ascii="仿宋_GB2312" w:eastAsia="仿宋_GB2312"/>
          <w:color w:val="auto"/>
          <w:sz w:val="32"/>
          <w:szCs w:val="32"/>
        </w:rPr>
        <w:t>开展</w:t>
      </w:r>
      <w:r>
        <w:rPr>
          <w:rFonts w:hint="eastAsia" w:ascii="仿宋_GB2312" w:eastAsia="仿宋_GB2312"/>
          <w:color w:val="auto"/>
          <w:sz w:val="32"/>
          <w:szCs w:val="32"/>
          <w:lang w:val="en-US" w:eastAsia="zh-CN"/>
        </w:rPr>
        <w:t>区属企业政务信息公开工作人员</w:t>
      </w:r>
      <w:r>
        <w:rPr>
          <w:rFonts w:hint="eastAsia" w:ascii="仿宋_GB2312" w:eastAsia="仿宋_GB2312"/>
          <w:color w:val="auto"/>
          <w:sz w:val="32"/>
          <w:szCs w:val="32"/>
        </w:rPr>
        <w:t>经验交流会，让各</w:t>
      </w:r>
      <w:r>
        <w:rPr>
          <w:rFonts w:hint="eastAsia" w:ascii="仿宋_GB2312" w:eastAsia="仿宋_GB2312"/>
          <w:color w:val="auto"/>
          <w:sz w:val="32"/>
          <w:szCs w:val="32"/>
          <w:lang w:val="en-US" w:eastAsia="zh-CN"/>
        </w:rPr>
        <w:t>企业</w:t>
      </w:r>
      <w:r>
        <w:rPr>
          <w:rFonts w:hint="eastAsia" w:ascii="仿宋_GB2312" w:eastAsia="仿宋_GB2312"/>
          <w:color w:val="auto"/>
          <w:sz w:val="32"/>
          <w:szCs w:val="32"/>
        </w:rPr>
        <w:t>工作人员分享在政务公开工作中的好经验、好做法，互相学习借鉴，共同提高。</w:t>
      </w:r>
    </w:p>
    <w:p w14:paraId="7ECDA47A">
      <w:pPr>
        <w:ind w:firstLine="643" w:firstLineChars="200"/>
        <w:rPr>
          <w:rFonts w:hint="eastAsia" w:ascii="仿宋_GB2312" w:eastAsia="仿宋_GB2312"/>
          <w:b/>
          <w:bCs/>
          <w:color w:val="auto"/>
          <w:sz w:val="32"/>
          <w:szCs w:val="32"/>
          <w:lang w:eastAsia="zh-CN"/>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7A76D">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14:paraId="4CA37B14">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FE3FED"/>
    <w:multiLevelType w:val="singleLevel"/>
    <w:tmpl w:val="E7FE3FED"/>
    <w:lvl w:ilvl="0" w:tentative="0">
      <w:start w:val="5"/>
      <w:numFmt w:val="chineseCounting"/>
      <w:suff w:val="nothing"/>
      <w:lvlText w:val="%1、"/>
      <w:lvlJc w:val="left"/>
      <w:rPr>
        <w:rFonts w:hint="eastAsia"/>
      </w:rPr>
    </w:lvl>
  </w:abstractNum>
  <w:abstractNum w:abstractNumId="1">
    <w:nsid w:val="57B8C516"/>
    <w:multiLevelType w:val="singleLevel"/>
    <w:tmpl w:val="57B8C51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036FB"/>
    <w:rsid w:val="003F5380"/>
    <w:rsid w:val="005F04B3"/>
    <w:rsid w:val="007043DD"/>
    <w:rsid w:val="00725311"/>
    <w:rsid w:val="007C0E41"/>
    <w:rsid w:val="008260F2"/>
    <w:rsid w:val="008510D4"/>
    <w:rsid w:val="008E79FC"/>
    <w:rsid w:val="009036FB"/>
    <w:rsid w:val="00A6635A"/>
    <w:rsid w:val="00A935C0"/>
    <w:rsid w:val="012706E7"/>
    <w:rsid w:val="04624A99"/>
    <w:rsid w:val="04661011"/>
    <w:rsid w:val="04BD1BA7"/>
    <w:rsid w:val="04CB3CC5"/>
    <w:rsid w:val="05274F79"/>
    <w:rsid w:val="067E6FC1"/>
    <w:rsid w:val="070B0919"/>
    <w:rsid w:val="07D67667"/>
    <w:rsid w:val="0BE44893"/>
    <w:rsid w:val="0C197EFD"/>
    <w:rsid w:val="0C886EAB"/>
    <w:rsid w:val="0F560F98"/>
    <w:rsid w:val="118F7958"/>
    <w:rsid w:val="128D6FC9"/>
    <w:rsid w:val="13FE1CD8"/>
    <w:rsid w:val="153C0E2B"/>
    <w:rsid w:val="169326D4"/>
    <w:rsid w:val="17600C4E"/>
    <w:rsid w:val="19214492"/>
    <w:rsid w:val="1B8347C7"/>
    <w:rsid w:val="20315E0F"/>
    <w:rsid w:val="20792A83"/>
    <w:rsid w:val="21537630"/>
    <w:rsid w:val="23623B5A"/>
    <w:rsid w:val="266B6526"/>
    <w:rsid w:val="283D0195"/>
    <w:rsid w:val="28C272D0"/>
    <w:rsid w:val="2AE047DA"/>
    <w:rsid w:val="2B292838"/>
    <w:rsid w:val="2D126E0D"/>
    <w:rsid w:val="2E4E18AB"/>
    <w:rsid w:val="2ED9699B"/>
    <w:rsid w:val="31473E7A"/>
    <w:rsid w:val="318E1295"/>
    <w:rsid w:val="3312208F"/>
    <w:rsid w:val="364F21ED"/>
    <w:rsid w:val="36FD41D4"/>
    <w:rsid w:val="372142C2"/>
    <w:rsid w:val="388A4CBC"/>
    <w:rsid w:val="3A3838B1"/>
    <w:rsid w:val="3BF75330"/>
    <w:rsid w:val="3EB95DE8"/>
    <w:rsid w:val="3FF605CD"/>
    <w:rsid w:val="45A604D0"/>
    <w:rsid w:val="46873754"/>
    <w:rsid w:val="468B3F91"/>
    <w:rsid w:val="4A903598"/>
    <w:rsid w:val="4BCB7D2E"/>
    <w:rsid w:val="4C9F469A"/>
    <w:rsid w:val="4CDD3F9C"/>
    <w:rsid w:val="4E2F67D9"/>
    <w:rsid w:val="50CD4459"/>
    <w:rsid w:val="51A97CDA"/>
    <w:rsid w:val="523D44D4"/>
    <w:rsid w:val="540366B0"/>
    <w:rsid w:val="55EA5046"/>
    <w:rsid w:val="574D1E67"/>
    <w:rsid w:val="57D17B6C"/>
    <w:rsid w:val="59186333"/>
    <w:rsid w:val="5DF22E46"/>
    <w:rsid w:val="5ECC6A10"/>
    <w:rsid w:val="5EEDC3F8"/>
    <w:rsid w:val="5EFD9BA6"/>
    <w:rsid w:val="5FF64EAB"/>
    <w:rsid w:val="60135DB3"/>
    <w:rsid w:val="602C7A3D"/>
    <w:rsid w:val="60DA1397"/>
    <w:rsid w:val="635D0996"/>
    <w:rsid w:val="65FF0DA3"/>
    <w:rsid w:val="667E3DD4"/>
    <w:rsid w:val="66FD5574"/>
    <w:rsid w:val="671F2A18"/>
    <w:rsid w:val="6D876F5F"/>
    <w:rsid w:val="6FEE6C28"/>
    <w:rsid w:val="7349719A"/>
    <w:rsid w:val="76AE24B4"/>
    <w:rsid w:val="76CC544B"/>
    <w:rsid w:val="76DDF9C0"/>
    <w:rsid w:val="77B81EDB"/>
    <w:rsid w:val="78081EAE"/>
    <w:rsid w:val="7A387F61"/>
    <w:rsid w:val="7AA03EC1"/>
    <w:rsid w:val="7AF79EE2"/>
    <w:rsid w:val="7BFE71FE"/>
    <w:rsid w:val="7E5C8C4E"/>
    <w:rsid w:val="7F3F70A9"/>
    <w:rsid w:val="7F7F0ED8"/>
    <w:rsid w:val="7F995383"/>
    <w:rsid w:val="7FFEDE2F"/>
    <w:rsid w:val="8FBBAD1D"/>
    <w:rsid w:val="ABDE8AB7"/>
    <w:rsid w:val="BC375350"/>
    <w:rsid w:val="BCFCE167"/>
    <w:rsid w:val="DEFFB33B"/>
    <w:rsid w:val="EF5EF59E"/>
    <w:rsid w:val="EFBD352D"/>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Strong"/>
    <w:basedOn w:val="7"/>
    <w:qFormat/>
    <w:uiPriority w:val="22"/>
    <w:rPr>
      <w:b/>
    </w:rPr>
  </w:style>
  <w:style w:type="character" w:styleId="9">
    <w:name w:val="Hyperlink"/>
    <w:basedOn w:val="7"/>
    <w:qFormat/>
    <w:uiPriority w:val="0"/>
    <w:rPr>
      <w:color w:val="0000FF"/>
      <w:u w:val="single"/>
    </w:rPr>
  </w:style>
  <w:style w:type="character" w:customStyle="1" w:styleId="10">
    <w:name w:val="页眉 字符"/>
    <w:basedOn w:val="7"/>
    <w:link w:val="4"/>
    <w:semiHidden/>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6</Pages>
  <Words>2313</Words>
  <Characters>2386</Characters>
  <Lines>30</Lines>
  <Paragraphs>8</Paragraphs>
  <TotalTime>2</TotalTime>
  <ScaleCrop>false</ScaleCrop>
  <LinksUpToDate>false</LinksUpToDate>
  <CharactersWithSpaces>2389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2020-01-10T02:42:00Z</dcterms:created>
  <dc:creator>Administrator</dc:creator>
  <cp:lastModifiedBy>Administrator</cp:lastModifiedBy>
  <dcterms:modified xsi:type="dcterms:W3CDTF">2025-01-10T06:50:10Z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88C9F9DA849E46FCA024825035A0B913</vt:lpwstr>
  </property>
  <property fmtid="{D5CDD505-2E9C-101B-9397-08002B2CF9AE}" pid="4" name="KSOTemplateDocerSaveRecord">
    <vt:lpwstr>eyJoZGlkIjoiN2E3MDYzZTBlM2NmMDc2YTBmZDVmYjU1NWFiN2ZkZDYifQ==</vt:lpwstr>
  </property>
</Properties>
</file>