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jc w:val="center"/>
        <w:rPr>
          <w:rFonts w:ascii="Times New Roman" w:hAnsi="Times New Roman" w:eastAsia="方正小标宋简体"/>
          <w:spacing w:val="10"/>
          <w:sz w:val="44"/>
          <w:szCs w:val="44"/>
        </w:rPr>
      </w:pPr>
      <w:r>
        <w:rPr>
          <w:rFonts w:hint="eastAsia" w:ascii="Times New Roman" w:hAnsi="Times New Roman" w:eastAsia="方正小标宋简体"/>
          <w:spacing w:val="10"/>
          <w:sz w:val="44"/>
          <w:szCs w:val="44"/>
        </w:rPr>
        <w:t>泰安市泰山区科技局2024</w:t>
      </w:r>
      <w:r>
        <w:rPr>
          <w:rFonts w:ascii="Times New Roman" w:hAnsi="Times New Roman" w:eastAsia="方正小标宋简体"/>
          <w:spacing w:val="10"/>
          <w:sz w:val="44"/>
          <w:szCs w:val="44"/>
        </w:rPr>
        <w:t>年</w:t>
      </w:r>
    </w:p>
    <w:p>
      <w:pPr>
        <w:pStyle w:val="6"/>
        <w:spacing w:before="0" w:beforeAutospacing="0" w:after="0" w:afterAutospacing="0" w:line="560" w:lineRule="exact"/>
        <w:jc w:val="center"/>
        <w:rPr>
          <w:rFonts w:ascii="Times New Roman" w:hAnsi="Times New Roman" w:eastAsia="方正小标宋简体"/>
          <w:spacing w:val="10"/>
          <w:sz w:val="44"/>
          <w:szCs w:val="44"/>
        </w:rPr>
      </w:pPr>
      <w:r>
        <w:rPr>
          <w:rFonts w:ascii="Times New Roman" w:hAnsi="Times New Roman" w:eastAsia="方正小标宋简体"/>
          <w:spacing w:val="10"/>
          <w:sz w:val="44"/>
          <w:szCs w:val="44"/>
        </w:rPr>
        <w:t>政府信息公开工作年度报告</w:t>
      </w:r>
    </w:p>
    <w:p>
      <w:pPr>
        <w:pStyle w:val="6"/>
        <w:spacing w:before="0" w:beforeAutospacing="0" w:after="0" w:afterAutospacing="0" w:line="560" w:lineRule="exact"/>
        <w:ind w:firstLine="880" w:firstLineChars="200"/>
        <w:jc w:val="both"/>
        <w:rPr>
          <w:rFonts w:ascii="Times New Roman" w:hAnsi="Times New Roman" w:eastAsia="方正小标宋简体"/>
          <w:sz w:val="44"/>
          <w:szCs w:val="44"/>
        </w:rPr>
      </w:pP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根据《中华人民共和国政府信息公开条例》，特向社会公布2024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2024年1月1日起至2024年12月31日止。</w:t>
      </w:r>
    </w:p>
    <w:p>
      <w:pPr>
        <w:pStyle w:val="6"/>
        <w:spacing w:before="0" w:beforeAutospacing="0" w:after="0" w:afterAutospacing="0" w:line="560" w:lineRule="exact"/>
        <w:ind w:firstLine="640" w:firstLineChars="200"/>
        <w:jc w:val="both"/>
        <w:rPr>
          <w:rFonts w:ascii="黑体" w:hAnsi="黑体" w:eastAsia="黑体"/>
          <w:sz w:val="32"/>
          <w:szCs w:val="32"/>
        </w:rPr>
      </w:pPr>
      <w:r>
        <w:rPr>
          <w:rFonts w:ascii="黑体" w:hAnsi="黑体" w:eastAsia="黑体"/>
          <w:sz w:val="32"/>
          <w:szCs w:val="32"/>
        </w:rPr>
        <w:t>一、总体情况</w:t>
      </w:r>
    </w:p>
    <w:p>
      <w:pPr>
        <w:spacing w:line="560" w:lineRule="exact"/>
        <w:ind w:firstLine="640" w:firstLineChars="200"/>
        <w:rPr>
          <w:rFonts w:ascii="仿宋_GB2312" w:eastAsia="仿宋_GB2312"/>
          <w:sz w:val="32"/>
          <w:szCs w:val="32"/>
        </w:rPr>
      </w:pPr>
      <w:r>
        <w:rPr>
          <w:rFonts w:ascii="仿宋_GB2312" w:eastAsia="仿宋_GB2312"/>
          <w:sz w:val="32"/>
          <w:szCs w:val="32"/>
        </w:rPr>
        <w:t>202</w:t>
      </w:r>
      <w:r>
        <w:rPr>
          <w:rFonts w:hint="eastAsia" w:ascii="仿宋_GB2312" w:eastAsia="仿宋_GB2312"/>
          <w:sz w:val="32"/>
          <w:szCs w:val="32"/>
        </w:rPr>
        <w:t>4年，</w:t>
      </w:r>
      <w:r>
        <w:rPr>
          <w:rFonts w:ascii="Times New Roman" w:hAnsi="Times New Roman" w:eastAsia="仿宋_GB2312"/>
          <w:sz w:val="32"/>
          <w:szCs w:val="32"/>
        </w:rPr>
        <w:t>泰山区科技局</w:t>
      </w:r>
      <w:r>
        <w:rPr>
          <w:rFonts w:hint="eastAsia" w:ascii="Times New Roman" w:hAnsi="Times New Roman" w:eastAsia="仿宋_GB2312"/>
          <w:sz w:val="32"/>
          <w:szCs w:val="32"/>
        </w:rPr>
        <w:t>紧紧围绕区委“11645”发展思路和“当标杆、作表率，打造首善之区”目标，贯彻落实创新驱动战略，</w:t>
      </w:r>
      <w:r>
        <w:rPr>
          <w:rFonts w:hint="eastAsia" w:ascii="仿宋_GB2312" w:hAnsi="仿宋_GB2312" w:eastAsia="仿宋_GB2312" w:cs="仿宋_GB2312"/>
          <w:sz w:val="32"/>
          <w:szCs w:val="32"/>
        </w:rPr>
        <w:t>认真贯彻落实《中华人民共和国政府信息公开条例》</w:t>
      </w:r>
      <w:r>
        <w:rPr>
          <w:rFonts w:hint="eastAsia" w:ascii="仿宋_GB2312" w:eastAsia="仿宋_GB2312"/>
          <w:sz w:val="32"/>
          <w:szCs w:val="32"/>
        </w:rPr>
        <w:t>要求</w:t>
      </w:r>
      <w:r>
        <w:rPr>
          <w:rFonts w:hint="eastAsia" w:ascii="仿宋_GB2312" w:hAnsi="Calibri" w:eastAsia="仿宋_GB2312" w:cs="Times New Roman"/>
          <w:kern w:val="0"/>
          <w:sz w:val="32"/>
          <w:szCs w:val="32"/>
        </w:rPr>
        <w:t>，深入推行政府信息公开，为社会提供了方便、快捷的信息公开服务，有力地促进了全区科技创新工作的快速发展，群众满意度显著提升。</w:t>
      </w:r>
    </w:p>
    <w:p>
      <w:pPr>
        <w:spacing w:line="560" w:lineRule="exact"/>
        <w:ind w:firstLine="642" w:firstLineChars="200"/>
        <w:rPr>
          <w:rFonts w:ascii="Times New Roman" w:hAnsi="Times New Roman" w:eastAsia="仿宋_GB2312"/>
          <w:sz w:val="32"/>
          <w:szCs w:val="32"/>
        </w:rPr>
      </w:pPr>
      <w:r>
        <w:rPr>
          <w:rFonts w:ascii="仿宋_GB2312" w:eastAsia="仿宋_GB2312"/>
          <w:b/>
          <w:bCs/>
          <w:sz w:val="32"/>
          <w:szCs w:val="32"/>
        </w:rPr>
        <w:t>1.主动公开</w:t>
      </w:r>
      <w:r>
        <w:rPr>
          <w:rFonts w:hint="eastAsia" w:ascii="仿宋_GB2312" w:eastAsia="仿宋_GB2312"/>
          <w:b/>
          <w:bCs/>
          <w:sz w:val="32"/>
          <w:szCs w:val="32"/>
        </w:rPr>
        <w:t>。</w:t>
      </w:r>
      <w:r>
        <w:rPr>
          <w:rFonts w:hint="eastAsia" w:ascii="Times New Roman" w:hAnsi="Times New Roman" w:eastAsia="仿宋_GB2312"/>
          <w:sz w:val="32"/>
          <w:szCs w:val="32"/>
        </w:rPr>
        <w:t>2024年，通过泰山区人民政府网站政府信息公开专栏发布2024年建议提案办理总体情况和吸收采纳情况、执法结果、《政府工作报告》重点工作任务进展与成效、惠企政策、宣传报道、政策解读等主动公开信息70余条，线下印发《2024年科技创新政策摘要汇编》50余份。</w:t>
      </w:r>
    </w:p>
    <w:p>
      <w:pPr>
        <w:spacing w:line="560" w:lineRule="exact"/>
        <w:ind w:firstLine="642" w:firstLineChars="200"/>
        <w:rPr>
          <w:rFonts w:ascii="Times New Roman" w:hAnsi="Times New Roman" w:eastAsia="仿宋_GB2312"/>
          <w:sz w:val="32"/>
          <w:szCs w:val="32"/>
        </w:rPr>
      </w:pPr>
      <w:r>
        <w:rPr>
          <w:rFonts w:ascii="仿宋_GB2312" w:eastAsia="仿宋_GB2312"/>
          <w:b/>
          <w:bCs/>
          <w:sz w:val="32"/>
          <w:szCs w:val="32"/>
        </w:rPr>
        <w:t>2.依申请公开</w:t>
      </w:r>
      <w:r>
        <w:rPr>
          <w:rFonts w:hint="eastAsia" w:ascii="仿宋_GB2312" w:eastAsia="仿宋_GB2312"/>
          <w:b/>
          <w:bCs/>
          <w:sz w:val="32"/>
          <w:szCs w:val="32"/>
        </w:rPr>
        <w:t>。</w:t>
      </w:r>
      <w:r>
        <w:rPr>
          <w:rFonts w:hint="eastAsia" w:ascii="Times New Roman" w:hAnsi="Times New Roman" w:eastAsia="仿宋_GB2312"/>
          <w:sz w:val="32"/>
          <w:szCs w:val="32"/>
        </w:rPr>
        <w:t>2024年泰山区科技局未收到政府信息公开申请。</w:t>
      </w:r>
    </w:p>
    <w:p>
      <w:pPr>
        <w:spacing w:line="560" w:lineRule="exact"/>
        <w:ind w:firstLine="642" w:firstLineChars="200"/>
        <w:rPr>
          <w:rFonts w:ascii="Times New Roman" w:hAnsi="Times New Roman" w:eastAsia="仿宋_GB2312"/>
          <w:color w:val="FF0000"/>
          <w:sz w:val="32"/>
          <w:szCs w:val="32"/>
        </w:rPr>
      </w:pPr>
      <w:r>
        <w:rPr>
          <w:rFonts w:ascii="仿宋_GB2312" w:eastAsia="仿宋_GB2312"/>
          <w:b/>
          <w:bCs/>
          <w:sz w:val="32"/>
          <w:szCs w:val="32"/>
        </w:rPr>
        <w:t>3.政府信息管理</w:t>
      </w:r>
      <w:r>
        <w:rPr>
          <w:rFonts w:hint="eastAsia" w:ascii="仿宋_GB2312" w:eastAsia="仿宋_GB2312"/>
          <w:b/>
          <w:bCs/>
          <w:sz w:val="32"/>
          <w:szCs w:val="32"/>
        </w:rPr>
        <w:t>。</w:t>
      </w:r>
      <w:r>
        <w:rPr>
          <w:rFonts w:hint="eastAsia" w:ascii="Times New Roman" w:hAnsi="Times New Roman" w:eastAsia="仿宋_GB2312"/>
          <w:sz w:val="32"/>
          <w:szCs w:val="32"/>
        </w:rPr>
        <w:t>严格落实区科技局公文类信息公开发布制度、政府信息公开保密审查制度、政策文件和解读方案一并报批制度、舆情收集与回应机制等一系列制度要求，深入推进政府信息管理工作。把深入推行政府信息公开、转变政府职能、实现管理创新作为一项重要工作，扎实高效推进信息公开工作，保障了全局政府信息公开工作依法、及时、准确、有序开展。</w:t>
      </w:r>
    </w:p>
    <w:p>
      <w:pPr>
        <w:spacing w:line="560" w:lineRule="exact"/>
        <w:ind w:firstLine="642" w:firstLineChars="200"/>
        <w:rPr>
          <w:rFonts w:ascii="Times New Roman" w:hAnsi="Times New Roman" w:eastAsia="仿宋_GB2312"/>
          <w:sz w:val="32"/>
          <w:szCs w:val="32"/>
        </w:rPr>
      </w:pPr>
      <w:r>
        <w:rPr>
          <w:rFonts w:ascii="仿宋_GB2312" w:eastAsia="仿宋_GB2312"/>
          <w:b/>
          <w:bCs/>
          <w:sz w:val="32"/>
          <w:szCs w:val="32"/>
        </w:rPr>
        <w:t>4.</w:t>
      </w:r>
      <w:r>
        <w:rPr>
          <w:rFonts w:hint="eastAsia" w:ascii="仿宋_GB2312" w:eastAsia="仿宋_GB2312"/>
          <w:b/>
          <w:bCs/>
          <w:sz w:val="32"/>
          <w:szCs w:val="32"/>
        </w:rPr>
        <w:t>政府信息公开</w:t>
      </w:r>
      <w:r>
        <w:rPr>
          <w:rFonts w:ascii="仿宋_GB2312" w:eastAsia="仿宋_GB2312"/>
          <w:b/>
          <w:bCs/>
          <w:sz w:val="32"/>
          <w:szCs w:val="32"/>
        </w:rPr>
        <w:t>平台建设</w:t>
      </w:r>
      <w:r>
        <w:rPr>
          <w:rFonts w:hint="eastAsia" w:ascii="仿宋_GB2312" w:eastAsia="仿宋_GB2312"/>
          <w:b/>
          <w:bCs/>
          <w:sz w:val="32"/>
          <w:szCs w:val="32"/>
        </w:rPr>
        <w:t>。</w:t>
      </w:r>
      <w:r>
        <w:rPr>
          <w:rFonts w:hint="eastAsia" w:ascii="Times New Roman" w:hAnsi="Times New Roman" w:eastAsia="仿宋_GB2312"/>
          <w:sz w:val="32"/>
          <w:szCs w:val="32"/>
        </w:rPr>
        <w:t>充分利用</w:t>
      </w:r>
      <w:r>
        <w:rPr>
          <w:rFonts w:hint="eastAsia" w:ascii="仿宋_GB2312" w:eastAsia="仿宋_GB2312"/>
          <w:sz w:val="32"/>
          <w:szCs w:val="32"/>
        </w:rPr>
        <w:t>泰山区人民政府网站</w:t>
      </w:r>
      <w:r>
        <w:rPr>
          <w:rFonts w:hint="eastAsia" w:ascii="Times New Roman" w:hAnsi="Times New Roman" w:eastAsia="仿宋_GB2312"/>
          <w:sz w:val="32"/>
          <w:szCs w:val="32"/>
        </w:rPr>
        <w:t>和政务新媒体等平台、渠道，及时对重大科技项目、科技奖励、重要会议精神等进行公开，保障企业群众的知情权、参与权、监督权，同时利用新闻发布会、政务服务窗口对相关政策进行解读宣传，解答疑问，发布政策宣传、成果推介类新闻信息70余次，及时回应企业群众关切，推进政务公开运行阳光、高效。</w:t>
      </w:r>
    </w:p>
    <w:p>
      <w:pPr>
        <w:spacing w:line="560" w:lineRule="exact"/>
        <w:ind w:firstLine="642" w:firstLineChars="200"/>
        <w:rPr>
          <w:rFonts w:ascii="黑体" w:hAnsi="黑体" w:eastAsia="黑体"/>
          <w:sz w:val="32"/>
          <w:szCs w:val="32"/>
        </w:rPr>
      </w:pPr>
      <w:r>
        <w:rPr>
          <w:rFonts w:ascii="仿宋_GB2312" w:eastAsia="仿宋_GB2312"/>
          <w:b/>
          <w:bCs/>
          <w:sz w:val="32"/>
          <w:szCs w:val="32"/>
        </w:rPr>
        <w:t>5.监督保障</w:t>
      </w:r>
      <w:r>
        <w:rPr>
          <w:rFonts w:hint="eastAsia" w:ascii="仿宋_GB2312" w:eastAsia="仿宋_GB2312"/>
          <w:b/>
          <w:bCs/>
          <w:sz w:val="32"/>
          <w:szCs w:val="32"/>
        </w:rPr>
        <w:t>。</w:t>
      </w:r>
      <w:r>
        <w:rPr>
          <w:rFonts w:hint="eastAsia" w:ascii="Times New Roman" w:hAnsi="Times New Roman" w:eastAsia="仿宋_GB2312"/>
          <w:sz w:val="32"/>
          <w:szCs w:val="32"/>
        </w:rPr>
        <w:t>局党组高度重视政府信息公开工作，明确专人具体组织落实信息公开的日常工作，明确信息公开职责，定期专题研究信息公开工作，进一步提高认识，积极推进信息公开的各项工作开展。2024年，区科技局严格按照《中华人民共和国政府信息公开条例》开展政府信息公开工作，确保流程规范、合规。按照省、市下发的政务公开工作要点，切实发挥部门职能，结合本领域实际，落实工作任务，并接受上级的监督检查。全年开展政务公开培训2次。</w:t>
      </w:r>
    </w:p>
    <w:p>
      <w:pPr>
        <w:pStyle w:val="6"/>
        <w:spacing w:before="0" w:beforeAutospacing="0" w:after="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主动公开政府信息情况</w:t>
      </w:r>
    </w:p>
    <w:tbl>
      <w:tblPr>
        <w:tblStyle w:val="7"/>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560" w:lineRule="exact"/>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250" w:type="pct"/>
            <w:tcBorders>
              <w:top w:val="nil"/>
              <w:left w:val="nil"/>
              <w:bottom w:val="single" w:color="auto" w:sz="8" w:space="0"/>
              <w:right w:val="single" w:color="auto" w:sz="8" w:space="0"/>
            </w:tcBorders>
            <w:shd w:val="clear" w:color="auto" w:fill="auto"/>
            <w:vAlign w:val="center"/>
          </w:tcPr>
          <w:p>
            <w:pPr>
              <w:spacing w:line="560" w:lineRule="exac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560" w:lineRule="exact"/>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560" w:lineRule="exact"/>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r>
      <w:tr>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spacing w:line="560" w:lineRule="exact"/>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spacing w:line="56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spacing w:line="560" w:lineRule="exact"/>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　0</w:t>
            </w:r>
          </w:p>
        </w:tc>
      </w:tr>
    </w:tbl>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spacing w:line="560" w:lineRule="exact"/>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spacing w:line="560" w:lineRule="exact"/>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spacing w:line="560" w:lineRule="exact"/>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spacing w:line="560" w:lineRule="exact"/>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567" w:type="dxa"/>
            <w:shd w:val="clear" w:color="auto" w:fill="auto"/>
            <w:tcMar>
              <w:left w:w="108" w:type="dxa"/>
              <w:right w:w="108" w:type="dxa"/>
            </w:tcMar>
            <w:vAlign w:val="center"/>
          </w:tcPr>
          <w:p>
            <w:pPr>
              <w:spacing w:line="560" w:lineRule="exact"/>
              <w:ind w:left="-106" w:leftChars="-51" w:right="-107" w:rightChars="-51" w:hanging="1"/>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spacing w:line="560" w:lineRule="exact"/>
              <w:ind w:left="-107" w:leftChars="-51" w:right="-107" w:rightChars="-51"/>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spacing w:line="560" w:lineRule="exact"/>
              <w:ind w:left="-107" w:leftChars="-51" w:right="-107" w:rightChars="-51"/>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spacing w:line="560" w:lineRule="exact"/>
              <w:ind w:left="-106" w:leftChars="-51" w:right="-107" w:rightChars="-51" w:hanging="1"/>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spacing w:line="560" w:lineRule="exact"/>
              <w:ind w:left="-63" w:leftChars="-30" w:right="-134" w:rightChars="-64"/>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spacing w:line="560" w:lineRule="exact"/>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4677" w:type="dxa"/>
            <w:gridSpan w:val="2"/>
            <w:shd w:val="clear" w:color="auto" w:fill="auto"/>
            <w:tcMar>
              <w:left w:w="108" w:type="dxa"/>
              <w:right w:w="108" w:type="dxa"/>
            </w:tcMar>
            <w:vAlign w:val="center"/>
          </w:tcPr>
          <w:p>
            <w:pPr>
              <w:spacing w:line="560" w:lineRule="exact"/>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spacing w:line="56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spacing w:line="56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spacing w:line="56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2976" w:type="dxa"/>
            <w:shd w:val="clear" w:color="auto" w:fill="auto"/>
            <w:tcMar>
              <w:left w:w="108" w:type="dxa"/>
              <w:right w:w="108" w:type="dxa"/>
            </w:tcMar>
            <w:vAlign w:val="center"/>
          </w:tcPr>
          <w:p>
            <w:pPr>
              <w:spacing w:line="56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spacing w:line="56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restart"/>
            <w:shd w:val="clear" w:color="auto" w:fill="auto"/>
            <w:tcMar>
              <w:left w:w="108" w:type="dxa"/>
              <w:right w:w="108" w:type="dxa"/>
            </w:tcMar>
            <w:vAlign w:val="center"/>
          </w:tcPr>
          <w:p>
            <w:pPr>
              <w:spacing w:line="56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spacing w:line="56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kern w:val="0"/>
                <w:szCs w:val="21"/>
              </w:rPr>
            </w:pPr>
          </w:p>
        </w:tc>
        <w:tc>
          <w:tcPr>
            <w:tcW w:w="2976" w:type="dxa"/>
            <w:shd w:val="clear" w:color="auto" w:fill="auto"/>
            <w:vAlign w:val="center"/>
          </w:tcPr>
          <w:p>
            <w:pPr>
              <w:spacing w:line="56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1701" w:type="dxa"/>
            <w:vMerge w:val="continue"/>
            <w:shd w:val="clear" w:color="auto" w:fill="auto"/>
            <w:tcMar>
              <w:left w:w="108" w:type="dxa"/>
              <w:right w:w="108" w:type="dxa"/>
            </w:tcMar>
            <w:vAlign w:val="center"/>
          </w:tcPr>
          <w:p>
            <w:pPr>
              <w:spacing w:line="560" w:lineRule="exact"/>
              <w:rPr>
                <w:rFonts w:ascii="黑体" w:hAnsi="黑体" w:eastAsia="黑体"/>
                <w:kern w:val="0"/>
                <w:szCs w:val="21"/>
              </w:rPr>
            </w:pPr>
          </w:p>
        </w:tc>
        <w:tc>
          <w:tcPr>
            <w:tcW w:w="2976" w:type="dxa"/>
            <w:shd w:val="clear" w:color="auto" w:fill="auto"/>
            <w:vAlign w:val="center"/>
          </w:tcPr>
          <w:p>
            <w:pPr>
              <w:spacing w:line="56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spacing w:line="560" w:lineRule="exact"/>
              <w:rPr>
                <w:rFonts w:ascii="黑体" w:hAnsi="黑体" w:eastAsia="黑体"/>
                <w:szCs w:val="21"/>
              </w:rPr>
            </w:pPr>
          </w:p>
        </w:tc>
        <w:tc>
          <w:tcPr>
            <w:tcW w:w="4677" w:type="dxa"/>
            <w:gridSpan w:val="2"/>
            <w:shd w:val="clear" w:color="auto" w:fill="auto"/>
            <w:tcMar>
              <w:left w:w="108" w:type="dxa"/>
              <w:right w:w="108" w:type="dxa"/>
            </w:tcMar>
            <w:vAlign w:val="center"/>
          </w:tcPr>
          <w:p>
            <w:pPr>
              <w:spacing w:line="56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spacing w:line="56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spacing w:line="560" w:lineRule="exact"/>
              <w:rPr>
                <w:rFonts w:ascii="仿宋_GB2312" w:hAnsi="Times New Roman" w:eastAsia="仿宋_GB2312"/>
                <w:szCs w:val="21"/>
              </w:rPr>
            </w:pPr>
            <w:r>
              <w:rPr>
                <w:rFonts w:hint="eastAsia" w:ascii="仿宋_GB2312" w:hAnsi="Times New Roman" w:eastAsia="仿宋_GB2312"/>
                <w:szCs w:val="21"/>
              </w:rPr>
              <w:t>0</w:t>
            </w:r>
          </w:p>
        </w:tc>
      </w:tr>
    </w:tbl>
    <w:p>
      <w:pPr>
        <w:pStyle w:val="6"/>
        <w:spacing w:before="0" w:beforeAutospacing="0" w:after="0" w:afterAutospacing="0" w:line="560" w:lineRule="exact"/>
        <w:ind w:firstLine="640" w:firstLineChars="200"/>
        <w:jc w:val="both"/>
        <w:rPr>
          <w:rFonts w:ascii="Times New Roman" w:hAnsi="Times New Roman"/>
        </w:rPr>
      </w:pPr>
      <w:r>
        <w:rPr>
          <w:rFonts w:ascii="黑体" w:hAnsi="黑体" w:eastAsia="黑体"/>
          <w:sz w:val="32"/>
          <w:szCs w:val="32"/>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ind w:left="-149" w:leftChars="-71" w:right="-170" w:rightChars="-81"/>
              <w:rPr>
                <w:rFonts w:ascii="黑体" w:hAnsi="黑体" w:eastAsia="黑体"/>
                <w:kern w:val="0"/>
                <w:sz w:val="20"/>
                <w:szCs w:val="20"/>
              </w:rPr>
            </w:pPr>
            <w:r>
              <w:rPr>
                <w:rFonts w:ascii="黑体" w:hAnsi="黑体" w:eastAsia="黑体"/>
                <w:kern w:val="0"/>
                <w:sz w:val="20"/>
                <w:szCs w:val="20"/>
              </w:rPr>
              <w:t>结果</w:t>
            </w:r>
          </w:p>
          <w:p>
            <w:pPr>
              <w:spacing w:line="560" w:lineRule="exact"/>
              <w:ind w:left="-149" w:leftChars="-71" w:right="-170" w:rightChars="-81"/>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43" w:leftChars="-21" w:right="-132" w:rightChars="-63" w:hanging="1"/>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82" w:leftChars="-39" w:right="-97" w:rightChars="-46"/>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118" w:leftChars="-56" w:right="-118" w:rightChars="-56"/>
              <w:rPr>
                <w:rFonts w:ascii="黑体" w:hAnsi="黑体" w:eastAsia="黑体"/>
                <w:kern w:val="0"/>
                <w:sz w:val="20"/>
                <w:szCs w:val="20"/>
              </w:rPr>
            </w:pPr>
            <w:r>
              <w:rPr>
                <w:rFonts w:ascii="黑体" w:hAnsi="黑体" w:eastAsia="黑体"/>
                <w:kern w:val="0"/>
                <w:sz w:val="20"/>
                <w:szCs w:val="20"/>
              </w:rPr>
              <w:t>尚未</w:t>
            </w:r>
          </w:p>
          <w:p>
            <w:pPr>
              <w:spacing w:line="560" w:lineRule="exact"/>
              <w:ind w:left="-118" w:leftChars="-56" w:right="-118" w:rightChars="-56"/>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kern w:val="0"/>
                <w:sz w:val="20"/>
                <w:szCs w:val="20"/>
              </w:rPr>
            </w:pPr>
            <w:r>
              <w:rPr>
                <w:rFonts w:ascii="黑体" w:hAnsi="黑体" w:eastAsia="黑体"/>
                <w:kern w:val="0"/>
                <w:sz w:val="20"/>
                <w:szCs w:val="20"/>
              </w:rPr>
              <w:t>总</w:t>
            </w:r>
          </w:p>
          <w:p>
            <w:pPr>
              <w:spacing w:line="560" w:lineRule="exact"/>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sz w:val="24"/>
              </w:rPr>
            </w:pPr>
          </w:p>
        </w:tc>
        <w:tc>
          <w:tcPr>
            <w:tcW w:w="658" w:type="dxa"/>
            <w:vMerge w:val="continue"/>
            <w:tcBorders>
              <w:top w:val="single" w:color="auto" w:sz="8" w:space="0"/>
              <w:left w:val="nil"/>
              <w:bottom w:val="single" w:color="auto" w:sz="8" w:space="0"/>
              <w:right w:val="single" w:color="auto" w:sz="4" w:space="0"/>
            </w:tcBorders>
            <w:shd w:val="clear" w:color="auto" w:fill="auto"/>
            <w:tcMar>
              <w:left w:w="108" w:type="dxa"/>
              <w:right w:w="108" w:type="dxa"/>
            </w:tcMar>
            <w:vAlign w:val="center"/>
          </w:tcPr>
          <w:p>
            <w:pPr>
              <w:spacing w:line="560" w:lineRule="exact"/>
              <w:rPr>
                <w:rFonts w:ascii="黑体" w:hAnsi="黑体" w:eastAsia="黑体"/>
                <w:sz w:val="24"/>
              </w:rPr>
            </w:pPr>
          </w:p>
        </w:tc>
        <w:tc>
          <w:tcPr>
            <w:tcW w:w="55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ind w:left="-105" w:leftChars="-50" w:right="-126" w:rightChars="-60"/>
              <w:rPr>
                <w:rFonts w:ascii="黑体" w:hAnsi="黑体" w:eastAsia="黑体"/>
              </w:rPr>
            </w:pPr>
            <w:r>
              <w:rPr>
                <w:rFonts w:ascii="黑体" w:hAnsi="黑体" w:eastAsia="黑体"/>
                <w:kern w:val="0"/>
                <w:sz w:val="20"/>
                <w:szCs w:val="20"/>
              </w:rPr>
              <w:t>结果维持</w:t>
            </w:r>
          </w:p>
        </w:tc>
        <w:tc>
          <w:tcPr>
            <w:tcW w:w="60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spacing w:line="560" w:lineRule="exact"/>
              <w:ind w:left="-86" w:leftChars="-41" w:right="-88" w:rightChars="-42"/>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spacing w:line="560" w:lineRule="exact"/>
              <w:ind w:left="-126" w:leftChars="-60" w:right="-136" w:rightChars="-65"/>
              <w:rPr>
                <w:rFonts w:ascii="黑体" w:hAnsi="黑体" w:eastAsia="黑体"/>
                <w:kern w:val="0"/>
                <w:sz w:val="20"/>
                <w:szCs w:val="20"/>
              </w:rPr>
            </w:pPr>
            <w:r>
              <w:rPr>
                <w:rFonts w:ascii="黑体" w:hAnsi="黑体" w:eastAsia="黑体"/>
                <w:kern w:val="0"/>
                <w:sz w:val="20"/>
                <w:szCs w:val="20"/>
              </w:rPr>
              <w:t>其他</w:t>
            </w:r>
          </w:p>
          <w:p>
            <w:pPr>
              <w:spacing w:line="560" w:lineRule="exact"/>
              <w:ind w:left="-126" w:leftChars="-60" w:right="-136" w:rightChars="-65"/>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164" w:leftChars="-78" w:right="-153" w:rightChars="-73"/>
              <w:rPr>
                <w:rFonts w:ascii="黑体" w:hAnsi="黑体" w:eastAsia="黑体"/>
                <w:kern w:val="0"/>
                <w:sz w:val="20"/>
                <w:szCs w:val="20"/>
              </w:rPr>
            </w:pPr>
            <w:r>
              <w:rPr>
                <w:rFonts w:ascii="黑体" w:hAnsi="黑体" w:eastAsia="黑体"/>
                <w:kern w:val="0"/>
                <w:sz w:val="20"/>
                <w:szCs w:val="20"/>
              </w:rPr>
              <w:t>尚未</w:t>
            </w:r>
          </w:p>
          <w:p>
            <w:pPr>
              <w:spacing w:line="560" w:lineRule="exact"/>
              <w:ind w:left="-164" w:leftChars="-78" w:right="-153" w:rightChars="-73"/>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99" w:leftChars="-47" w:right="-78" w:rightChars="-37"/>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136" w:leftChars="-65" w:right="-124" w:rightChars="-59"/>
              <w:rPr>
                <w:rFonts w:ascii="黑体" w:hAnsi="黑体" w:eastAsia="黑体"/>
                <w:kern w:val="0"/>
                <w:sz w:val="20"/>
                <w:szCs w:val="20"/>
              </w:rPr>
            </w:pPr>
            <w:r>
              <w:rPr>
                <w:rFonts w:ascii="黑体" w:hAnsi="黑体" w:eastAsia="黑体"/>
                <w:kern w:val="0"/>
                <w:sz w:val="20"/>
                <w:szCs w:val="20"/>
              </w:rPr>
              <w:t>结果</w:t>
            </w:r>
          </w:p>
          <w:p>
            <w:pPr>
              <w:spacing w:line="560" w:lineRule="exact"/>
              <w:ind w:left="-136" w:leftChars="-65" w:right="-124" w:rightChars="-59"/>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173" w:leftChars="-83" w:right="-134" w:rightChars="-64" w:hanging="1"/>
              <w:rPr>
                <w:rFonts w:ascii="黑体" w:hAnsi="黑体" w:eastAsia="黑体"/>
                <w:kern w:val="0"/>
                <w:sz w:val="20"/>
                <w:szCs w:val="20"/>
              </w:rPr>
            </w:pPr>
            <w:r>
              <w:rPr>
                <w:rFonts w:ascii="黑体" w:hAnsi="黑体" w:eastAsia="黑体"/>
                <w:kern w:val="0"/>
                <w:sz w:val="20"/>
                <w:szCs w:val="20"/>
              </w:rPr>
              <w:t>其他</w:t>
            </w:r>
          </w:p>
          <w:p>
            <w:pPr>
              <w:spacing w:line="560" w:lineRule="exact"/>
              <w:ind w:left="-173" w:leftChars="-83" w:right="-134" w:rightChars="-64" w:hanging="1"/>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ind w:left="-67" w:leftChars="-33" w:right="-105" w:rightChars="-50" w:hanging="2" w:hangingChars="1"/>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spacing w:line="560" w:lineRule="exact"/>
              <w:rPr>
                <w:rFonts w:ascii="Times New Roman" w:hAnsi="Times New Roman"/>
              </w:rPr>
            </w:pPr>
            <w:r>
              <w:rPr>
                <w:rFonts w:hint="eastAsia" w:ascii="仿宋_GB2312" w:hAnsi="Times New Roman" w:eastAsia="仿宋_GB2312"/>
                <w:szCs w:val="21"/>
              </w:rPr>
              <w:t>0</w:t>
            </w:r>
          </w:p>
        </w:tc>
      </w:tr>
    </w:tbl>
    <w:p>
      <w:pPr>
        <w:pStyle w:val="6"/>
        <w:numPr>
          <w:ilvl w:val="0"/>
          <w:numId w:val="1"/>
        </w:numPr>
        <w:spacing w:before="0" w:beforeAutospacing="0" w:after="0" w:afterAutospacing="0" w:line="560" w:lineRule="exact"/>
        <w:ind w:firstLine="640" w:firstLineChars="200"/>
        <w:jc w:val="both"/>
        <w:rPr>
          <w:rFonts w:ascii="黑体" w:hAnsi="黑体" w:eastAsia="黑体"/>
          <w:sz w:val="32"/>
          <w:szCs w:val="32"/>
        </w:rPr>
      </w:pPr>
      <w:r>
        <w:rPr>
          <w:rFonts w:ascii="黑体" w:hAnsi="黑体" w:eastAsia="黑体"/>
          <w:sz w:val="32"/>
          <w:szCs w:val="32"/>
        </w:rPr>
        <w:t>存在的主要问题及改进情况</w:t>
      </w:r>
    </w:p>
    <w:p>
      <w:pPr>
        <w:pStyle w:val="6"/>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1、存在问题。一是政务信息公开不够及时有效，有时存在上传较慢、相关人员培训不到位等问题，二是</w:t>
      </w:r>
      <w:r>
        <w:rPr>
          <w:rFonts w:ascii="仿宋_GB2312" w:eastAsia="仿宋_GB2312"/>
          <w:sz w:val="32"/>
          <w:szCs w:val="32"/>
        </w:rPr>
        <w:t>公开方式单</w:t>
      </w:r>
      <w:r>
        <w:rPr>
          <w:rFonts w:hint="eastAsia" w:ascii="仿宋_GB2312" w:eastAsia="仿宋_GB2312"/>
          <w:sz w:val="32"/>
          <w:szCs w:val="32"/>
        </w:rPr>
        <w:t>一，尚未探索</w:t>
      </w:r>
      <w:r>
        <w:rPr>
          <w:rFonts w:ascii="仿宋_GB2312" w:eastAsia="仿宋_GB2312"/>
          <w:sz w:val="32"/>
          <w:szCs w:val="32"/>
        </w:rPr>
        <w:t>图表、视频等多样化的解读方式。</w:t>
      </w:r>
    </w:p>
    <w:p>
      <w:pPr>
        <w:spacing w:line="560" w:lineRule="exact"/>
        <w:ind w:firstLine="640" w:firstLineChars="200"/>
        <w:rPr>
          <w:rFonts w:ascii="仿宋_GB2312" w:eastAsia="仿宋_GB2312"/>
          <w:b/>
          <w:bCs/>
          <w:color w:val="FF0000"/>
          <w:sz w:val="32"/>
          <w:szCs w:val="32"/>
        </w:rPr>
      </w:pPr>
      <w:r>
        <w:rPr>
          <w:rFonts w:hint="eastAsia" w:ascii="仿宋_GB2312" w:eastAsia="仿宋_GB2312"/>
          <w:sz w:val="32"/>
          <w:szCs w:val="32"/>
        </w:rPr>
        <w:t>2、改进情况。</w:t>
      </w:r>
      <w:bookmarkStart w:id="10" w:name="_GoBack"/>
      <w:bookmarkEnd w:id="10"/>
      <w:r>
        <w:rPr>
          <w:rFonts w:hint="eastAsia" w:ascii="仿宋_GB2312" w:eastAsia="仿宋_GB2312"/>
          <w:sz w:val="32"/>
          <w:szCs w:val="32"/>
        </w:rPr>
        <w:t>2025年，我局将继续把政府信息公开工作摆在重要位置，开拓创新，狠抓落实，确保政府信息公开工作扎实有序推进。一是进一步提高对政府信息公开工作重要性的认识，主动查找自身存在的问题和不足，落实责任，加强整改，利用集体学习、专题培训等方式加强相关培训和学习，组织干部同志参加政务公开工作学习培训，提高业务能力，不断改进和完善政府信息公开工作。二是细化公开内容，充分发挥微信、移动客户端等新媒体平台灵活便捷、互动性强的优势，通过多渠道转发，形成全方位、立体化传播态势，进一步增强公开实效。</w:t>
      </w:r>
    </w:p>
    <w:p>
      <w:pPr>
        <w:pStyle w:val="6"/>
        <w:spacing w:before="0" w:beforeAutospacing="0" w:after="0" w:afterAutospacing="0" w:line="560" w:lineRule="exact"/>
        <w:ind w:firstLine="640" w:firstLineChars="200"/>
        <w:jc w:val="both"/>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其他需要报告的事项</w:t>
      </w:r>
    </w:p>
    <w:p>
      <w:pPr>
        <w:pStyle w:val="6"/>
        <w:spacing w:before="0" w:beforeAutospacing="0" w:after="0" w:afterAutospacing="0" w:line="560" w:lineRule="exact"/>
        <w:ind w:firstLine="640" w:firstLineChars="200"/>
        <w:jc w:val="both"/>
        <w:rPr>
          <w:rFonts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1.依据《政府信息公开信息处理费管理办法》收取信息处理费的情况:2024年区科技局无收取信息处理费的事项。</w:t>
      </w:r>
    </w:p>
    <w:p>
      <w:pPr>
        <w:spacing w:line="560" w:lineRule="exact"/>
        <w:ind w:firstLine="640" w:firstLineChars="200"/>
        <w:rPr>
          <w:rFonts w:ascii="仿宋_GB2312" w:eastAsia="仿宋_GB2312"/>
          <w:b/>
          <w:bCs/>
          <w:color w:val="FF0000"/>
          <w:sz w:val="32"/>
          <w:szCs w:val="32"/>
        </w:rPr>
      </w:pPr>
      <w:r>
        <w:rPr>
          <w:rFonts w:hint="eastAsia" w:ascii="仿宋_GB2312" w:eastAsia="仿宋_GB2312"/>
          <w:sz w:val="32"/>
          <w:szCs w:val="32"/>
        </w:rPr>
        <w:t>2.本行政机关落实上级年度政务公开工作要点情况:区科技局积极落实</w:t>
      </w:r>
      <w:r>
        <w:rPr>
          <w:rFonts w:hint="eastAsia" w:ascii="仿宋_GB2312" w:eastAsia="仿宋_GB2312"/>
          <w:sz w:val="32"/>
          <w:szCs w:val="32"/>
          <w:lang w:eastAsia="zh-CN"/>
        </w:rPr>
        <w:t>省市区</w:t>
      </w:r>
      <w:r>
        <w:rPr>
          <w:rFonts w:hint="eastAsia" w:ascii="仿宋_GB2312" w:eastAsia="仿宋_GB2312"/>
          <w:sz w:val="32"/>
          <w:szCs w:val="32"/>
        </w:rPr>
        <w:t>政务公开工作相关要求，夯实政务公开基础,拓展信息公开领域，确保信息更新</w:t>
      </w:r>
      <w:r>
        <w:rPr>
          <w:rFonts w:hint="eastAsia" w:ascii="仿宋_GB2312" w:eastAsia="仿宋_GB2312"/>
          <w:sz w:val="32"/>
          <w:szCs w:val="32"/>
          <w:lang w:eastAsia="zh-CN"/>
        </w:rPr>
        <w:t>及时准确</w:t>
      </w:r>
      <w:r>
        <w:rPr>
          <w:rFonts w:hint="eastAsia" w:ascii="仿宋_GB2312" w:eastAsia="仿宋_GB2312"/>
          <w:sz w:val="32"/>
          <w:szCs w:val="32"/>
        </w:rPr>
        <w:t>。</w:t>
      </w:r>
    </w:p>
    <w:p>
      <w:pPr>
        <w:pStyle w:val="6"/>
        <w:spacing w:before="0" w:beforeAutospacing="0" w:after="0" w:afterAutospacing="0" w:line="560" w:lineRule="exact"/>
        <w:ind w:firstLine="640" w:firstLineChars="200"/>
        <w:jc w:val="both"/>
      </w:pPr>
      <w:r>
        <w:rPr>
          <w:rFonts w:hint="eastAsia" w:ascii="仿宋_GB2312" w:eastAsia="仿宋_GB2312" w:hAnsiTheme="minorHAnsi" w:cstheme="minorBidi"/>
          <w:kern w:val="2"/>
          <w:sz w:val="32"/>
          <w:szCs w:val="32"/>
        </w:rPr>
        <w:t>3.本行政机关人大代表建议和政协提案办理结果公开情况:2024年泰山区科技局共承办人大建议、政协提案3项，其中人大建议1项，政协提案2项；事项内容涉及激发企业科技创新源动力，打造我区产业生态升级；深化科产教融合，夯实粮食安全根基助力乡村振兴；关于发挥我区中心优势，建立“科技研发产业园聚集地”等多个方面。我单位负责的建议、提案全部办理完毕，吸收采纳3条，不予采纳0条，吸收采纳率100%，办结率100%，政协委员对办理工作表示满意，所提出的问题得到解决。我单位根据要求及时将政协提案办理复文在泰山区人民政府门户网站进行了主动公开，接受社会监督。</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4.政务公开创新情况:一是多渠道公开，以《科技创新政策摘要汇编》的形式展示国家、省、市、区级科技政策200余条；主动加大公开力度，切实提升信息发布的质量和水平；二是多维度解读，累计转发制作文字解读、图片解读、新闻发布会解读等政策解读作品10余条，开展“送策入企”活动70余次，进一步增强了群众参与度、政策知晓度和解读精准度。</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roman"/>
    <w:pitch w:val="default"/>
    <w:sig w:usb0="00000000" w:usb1="00000000" w:usb2="00000000"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6</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B2E2E"/>
    <w:multiLevelType w:val="singleLevel"/>
    <w:tmpl w:val="F3EB2E2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036FB"/>
    <w:rsid w:val="00125A45"/>
    <w:rsid w:val="00154D9B"/>
    <w:rsid w:val="002B6E28"/>
    <w:rsid w:val="002E5263"/>
    <w:rsid w:val="003F5380"/>
    <w:rsid w:val="005F04B3"/>
    <w:rsid w:val="00625B1D"/>
    <w:rsid w:val="006F6BD2"/>
    <w:rsid w:val="007043DD"/>
    <w:rsid w:val="00725311"/>
    <w:rsid w:val="007419A9"/>
    <w:rsid w:val="007C0E41"/>
    <w:rsid w:val="008260F2"/>
    <w:rsid w:val="008510D4"/>
    <w:rsid w:val="008E3436"/>
    <w:rsid w:val="008E79FC"/>
    <w:rsid w:val="009036FB"/>
    <w:rsid w:val="00927631"/>
    <w:rsid w:val="00A6635A"/>
    <w:rsid w:val="00A935C0"/>
    <w:rsid w:val="00A96119"/>
    <w:rsid w:val="00BF0374"/>
    <w:rsid w:val="00C12C73"/>
    <w:rsid w:val="00F4672A"/>
    <w:rsid w:val="00FA736B"/>
    <w:rsid w:val="04624A99"/>
    <w:rsid w:val="04661011"/>
    <w:rsid w:val="04BD1BA7"/>
    <w:rsid w:val="0BE44893"/>
    <w:rsid w:val="0C197EFD"/>
    <w:rsid w:val="0C886EAB"/>
    <w:rsid w:val="118F7958"/>
    <w:rsid w:val="153C0E2B"/>
    <w:rsid w:val="17600C4E"/>
    <w:rsid w:val="20315E0F"/>
    <w:rsid w:val="20792A83"/>
    <w:rsid w:val="21537630"/>
    <w:rsid w:val="283D0195"/>
    <w:rsid w:val="2D126E0D"/>
    <w:rsid w:val="2ED9699B"/>
    <w:rsid w:val="31473E7A"/>
    <w:rsid w:val="318E1295"/>
    <w:rsid w:val="364F21ED"/>
    <w:rsid w:val="372142C2"/>
    <w:rsid w:val="388A4CBC"/>
    <w:rsid w:val="3AFFF8D0"/>
    <w:rsid w:val="3BF75330"/>
    <w:rsid w:val="3EFEE8D0"/>
    <w:rsid w:val="3FF605CD"/>
    <w:rsid w:val="468B3F91"/>
    <w:rsid w:val="4D69B4E3"/>
    <w:rsid w:val="4E2F67D9"/>
    <w:rsid w:val="50CD4459"/>
    <w:rsid w:val="540366B0"/>
    <w:rsid w:val="59186333"/>
    <w:rsid w:val="5DF62861"/>
    <w:rsid w:val="5EEDC3F8"/>
    <w:rsid w:val="5EEEC57D"/>
    <w:rsid w:val="5F7509EB"/>
    <w:rsid w:val="5FF3E57D"/>
    <w:rsid w:val="60DA1397"/>
    <w:rsid w:val="635D0996"/>
    <w:rsid w:val="65FF0DA3"/>
    <w:rsid w:val="671F2A18"/>
    <w:rsid w:val="699EF097"/>
    <w:rsid w:val="6D876F5F"/>
    <w:rsid w:val="6FFF8985"/>
    <w:rsid w:val="76DDF9C0"/>
    <w:rsid w:val="76EF86BD"/>
    <w:rsid w:val="777FCFC5"/>
    <w:rsid w:val="77B81EDB"/>
    <w:rsid w:val="77BFB76A"/>
    <w:rsid w:val="77EAA265"/>
    <w:rsid w:val="7A387F61"/>
    <w:rsid w:val="7AF79EE2"/>
    <w:rsid w:val="7E5C8C4E"/>
    <w:rsid w:val="7F3F70A9"/>
    <w:rsid w:val="7F7F0ED8"/>
    <w:rsid w:val="7FFEDE2F"/>
    <w:rsid w:val="87BED2CB"/>
    <w:rsid w:val="8FBBAD1D"/>
    <w:rsid w:val="9563146A"/>
    <w:rsid w:val="AB5B5784"/>
    <w:rsid w:val="ABFAE6E7"/>
    <w:rsid w:val="BC375350"/>
    <w:rsid w:val="BCD68100"/>
    <w:rsid w:val="BEF3BB28"/>
    <w:rsid w:val="BFC30A8C"/>
    <w:rsid w:val="BFEFFD1B"/>
    <w:rsid w:val="BFFB9DA5"/>
    <w:rsid w:val="C8EF2552"/>
    <w:rsid w:val="DFDF9749"/>
    <w:rsid w:val="DFED545F"/>
    <w:rsid w:val="DFFF88ED"/>
    <w:rsid w:val="ECFB136B"/>
    <w:rsid w:val="EDADB7BA"/>
    <w:rsid w:val="EDE9E100"/>
    <w:rsid w:val="EFE1FCBA"/>
    <w:rsid w:val="F76B1247"/>
    <w:rsid w:val="F77C5607"/>
    <w:rsid w:val="FB6BD8CE"/>
    <w:rsid w:val="FCD7E13E"/>
    <w:rsid w:val="FF7F2A1B"/>
    <w:rsid w:val="FFF77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9">
    <w:name w:val="Hyperlink"/>
    <w:basedOn w:val="8"/>
    <w:qFormat/>
    <w:uiPriority w:val="0"/>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Www.Ndeer.Com</Company>
  <Pages>6</Pages>
  <Words>490</Words>
  <Characters>2798</Characters>
  <Lines>23</Lines>
  <Paragraphs>6</Paragraphs>
  <TotalTime>12</TotalTime>
  <ScaleCrop>false</ScaleCrop>
  <LinksUpToDate>false</LinksUpToDate>
  <CharactersWithSpaces>3282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2025-01-20T15:12:00Z</dcterms:created>
  <dc:creator>Administrator</dc:creator>
  <cp:lastModifiedBy>kylin</cp:lastModifiedBy>
  <dcterms:modified xsi:type="dcterms:W3CDTF">2025-01-20T15:31:35Z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ies>
</file>