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泰安市泰山区医疗保障局</w:t>
      </w:r>
    </w:p>
    <w:p>
      <w:pPr>
        <w:pStyle w:val="5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2023年政府信息公开工作年度报告</w:t>
      </w:r>
    </w:p>
    <w:p>
      <w:pPr>
        <w:pStyle w:val="5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根据《中华人民共和国政府信息公开条例》，特向社会公布202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本机关政府信息公开工作年度报告。全文包括：年度报告应当包括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年1月1日起至202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年12月31日止。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一、总体情况</w:t>
      </w:r>
    </w:p>
    <w:p>
      <w:pPr>
        <w:bidi w:val="0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年，区医保局认真贯彻落实《中华人民共和国政府信息公开条例》有关规定和要求，按照区委、区政府的要求和统一部署，紧紧围绕夯实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参保扩面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、加强医保基金监管、规范医药价格管理、推进医保标准化信息化建设等重点工作，主动作为，迎难而上，积极推进政府信息公开各项工作，以公开促落实、以公开促规范、以公开促服务，不断优化政务环境。现将有关情况报告如下：</w:t>
      </w:r>
    </w:p>
    <w:p>
      <w:pPr>
        <w:bidi w:val="0"/>
        <w:ind w:firstLine="643" w:firstLineChars="200"/>
        <w:rPr>
          <w:rFonts w:hint="default"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1.主动公开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年泰山区医疗保障局通过区政府网站主动公开信息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</w:rPr>
        <w:t>条。其中包含要闻动态、履职依据、机构职能、财政预决算、行政权力运行公开、其他法定信息、重点领域信息公开等。公开的政府信息中均未涉及国家秘密、商业秘密和个人隐私。</w:t>
      </w:r>
    </w:p>
    <w:p>
      <w:pPr>
        <w:ind w:firstLine="643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2.依申请公开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年未收到信息公开申请。</w:t>
      </w:r>
    </w:p>
    <w:p>
      <w:pPr>
        <w:ind w:firstLine="643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3.政府信息管理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一是强化组织领导，制定规章制度，实行政府信息采集、梳理、编辑、审核、发布、更新等工作常态化工作机制，落实专人负责统筹、协调、编制、公布政府信息公开内容，保障政府信息及时公开到位。二是完善工作制度，结合我局工作实际，严格政府信息公开审核制度，坚持分级审核、先审后发，真正做到“谁起草、谁解读、谁负责”的相关要求，确保我局上传的信息资源权威、准确、及时。三是强化公开内容，进一步提升政府信息与政务公开工作水平。根据业务发展和制度修订情况，及时更新信息公开目录和政务信息公开指南，主动公开信息。</w:t>
      </w:r>
    </w:p>
    <w:p>
      <w:pPr>
        <w:ind w:firstLine="643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4.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政府信息公开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平台建设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color w:val="auto"/>
          <w:sz w:val="32"/>
          <w:szCs w:val="32"/>
        </w:rPr>
        <w:t>依托泰山区人民政府官网发布信息。二是通过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掌上泰山区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泰安市医保局官网、</w:t>
      </w:r>
      <w:r>
        <w:rPr>
          <w:rFonts w:hint="eastAsia" w:ascii="仿宋_GB2312" w:eastAsia="仿宋_GB2312"/>
          <w:color w:val="auto"/>
          <w:sz w:val="32"/>
          <w:szCs w:val="32"/>
        </w:rPr>
        <w:t>办事程序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color w:val="auto"/>
          <w:sz w:val="32"/>
          <w:szCs w:val="32"/>
        </w:rPr>
        <w:t>方式公开。</w:t>
      </w:r>
    </w:p>
    <w:p>
      <w:pPr>
        <w:ind w:firstLine="643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5.监督保障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我局通过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意见收集箱、</w:t>
      </w:r>
      <w:bookmarkStart w:id="10" w:name="_GoBack"/>
      <w:bookmarkEnd w:id="10"/>
      <w:r>
        <w:rPr>
          <w:rFonts w:hint="eastAsia" w:ascii="仿宋_GB2312" w:eastAsia="仿宋_GB2312"/>
          <w:color w:val="auto"/>
          <w:sz w:val="32"/>
          <w:szCs w:val="32"/>
        </w:rPr>
        <w:t>投诉电话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电子邮件等方式，广泛听取社会各界意见和建议。充分发挥社会监督作用，并积极接受区政府的检查督导。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</w:t>
      </w:r>
      <w:r>
        <w:rPr>
          <w:rFonts w:ascii="黑体" w:hAnsi="黑体" w:eastAsia="黑体"/>
          <w:color w:val="auto"/>
          <w:sz w:val="32"/>
          <w:szCs w:val="32"/>
        </w:rPr>
        <w:t>主动公开政府信息情况</w:t>
      </w:r>
    </w:p>
    <w:p>
      <w:pPr>
        <w:rPr>
          <w:rFonts w:ascii="黑体" w:hAnsi="黑体" w:eastAsia="黑体"/>
          <w:color w:val="auto"/>
          <w:sz w:val="32"/>
          <w:szCs w:val="32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7"/>
        <w:gridCol w:w="2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</w:t>
      </w:r>
      <w:r>
        <w:rPr>
          <w:rFonts w:ascii="黑体" w:hAnsi="黑体" w:eastAsia="黑体"/>
          <w:color w:val="auto"/>
          <w:sz w:val="32"/>
          <w:szCs w:val="32"/>
        </w:rPr>
        <w:t>收到和处理政府信息公开申请情况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600" w:lineRule="exact"/>
        <w:jc w:val="both"/>
        <w:rPr>
          <w:rFonts w:ascii="黑体" w:hAnsi="黑体" w:eastAsia="黑体"/>
          <w:color w:val="auto"/>
          <w:sz w:val="32"/>
          <w:szCs w:val="32"/>
        </w:rPr>
      </w:pPr>
    </w:p>
    <w:tbl>
      <w:tblPr>
        <w:tblStyle w:val="6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四、政府信息公开行政复议、行政诉讼情况</w:t>
      </w:r>
    </w:p>
    <w:p>
      <w:pPr>
        <w:pStyle w:val="5"/>
        <w:spacing w:before="0" w:beforeAutospacing="0" w:after="0" w:afterAutospacing="0" w:line="600" w:lineRule="exact"/>
        <w:ind w:firstLine="480" w:firstLineChars="200"/>
        <w:jc w:val="both"/>
        <w:rPr>
          <w:rFonts w:ascii="Times New Roman" w:hAnsi="Times New Roman"/>
          <w:color w:val="auto"/>
        </w:rPr>
      </w:pP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</w:t>
      </w:r>
      <w:r>
        <w:rPr>
          <w:rFonts w:ascii="黑体" w:hAnsi="黑体" w:eastAsia="黑体"/>
          <w:color w:val="auto"/>
          <w:sz w:val="32"/>
          <w:szCs w:val="32"/>
        </w:rPr>
        <w:t>存在的主要问题及改进情况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泰山区医保</w:t>
      </w:r>
      <w:r>
        <w:rPr>
          <w:rFonts w:hint="eastAsia" w:ascii="仿宋_GB2312" w:eastAsia="仿宋_GB2312"/>
          <w:color w:val="auto"/>
          <w:sz w:val="32"/>
          <w:szCs w:val="32"/>
        </w:rPr>
        <w:t>局政府信息公开虽然取得了长足的进步，但还存在着一些问题：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color w:val="auto"/>
          <w:sz w:val="32"/>
          <w:szCs w:val="32"/>
        </w:rPr>
        <w:t>是信息公开质量有待提高。二是信息公开内容还不够全面，信息发布还不够规范。三是主动公开的意识还有需进一步加强。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泰山区医保</w:t>
      </w:r>
      <w:r>
        <w:rPr>
          <w:rFonts w:hint="eastAsia" w:ascii="仿宋_GB2312" w:eastAsia="仿宋_GB2312"/>
          <w:color w:val="auto"/>
          <w:sz w:val="32"/>
          <w:szCs w:val="32"/>
        </w:rPr>
        <w:t>局将加大政府信息公开工作力度，加强信息公开工作体制机制建设，健全监督考核机制，提升工作意识，提高干部职工对政府信息公开工作重要性的认识，落实工作责任，进一步推进我局政府信息公开工作全面深入开展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六、</w:t>
      </w:r>
      <w:r>
        <w:rPr>
          <w:rFonts w:ascii="黑体" w:hAnsi="黑体" w:eastAsia="黑体"/>
          <w:color w:val="auto"/>
          <w:sz w:val="32"/>
          <w:szCs w:val="32"/>
        </w:rPr>
        <w:t>其他需要报告的事项</w:t>
      </w:r>
    </w:p>
    <w:p>
      <w:pPr>
        <w:ind w:firstLine="640" w:firstLineChars="200"/>
        <w:rPr>
          <w:rFonts w:hint="default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1.收取信息处理费的情况。依据《政府信息公开信息处理费管理办法》，我局本年度没有收取信息公开处理费。</w:t>
      </w:r>
    </w:p>
    <w:p>
      <w:pPr>
        <w:ind w:firstLine="640" w:firstLineChars="200"/>
        <w:rPr>
          <w:rFonts w:hint="default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2.落实上级年度政务公开工作要点情况。区医保局严格按照上级关于全面推进政务公开的要求，安排专人进行信息更新，依规定期公开相关信息。</w:t>
      </w:r>
    </w:p>
    <w:p>
      <w:pPr>
        <w:ind w:firstLine="640" w:firstLineChars="200"/>
        <w:rPr>
          <w:rFonts w:hint="default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3.人大建议、政协提案办理情况。202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年，我局共受理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人大建议1件，</w:t>
      </w:r>
      <w:r>
        <w:rPr>
          <w:rFonts w:hint="eastAsia" w:ascii="仿宋_GB2312" w:eastAsia="仿宋_GB2312"/>
          <w:color w:val="auto"/>
          <w:sz w:val="32"/>
          <w:szCs w:val="32"/>
        </w:rPr>
        <w:t>政协提案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件，我局高度重视，明确相关科室认真研究、积极落实。截至目前，我单位负责的提案全部办理完毕。政协委员对办理工作表示满意，所提出的问题得到解决。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4.年度政务公开工作创新情况。202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泰山区医保局</w:t>
      </w:r>
      <w:r>
        <w:rPr>
          <w:rFonts w:hint="eastAsia" w:ascii="仿宋_GB2312" w:eastAsia="仿宋_GB2312"/>
          <w:color w:val="auto"/>
          <w:sz w:val="32"/>
          <w:szCs w:val="32"/>
        </w:rPr>
        <w:t>本着以公开促落实、促服务的原则，不断强化政府信息公开工作能力，健全信息公开制度，加强人员培训，提升工作效率，持续推进政务公开工作质量和服务水平的提升。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U3NGEzN2MxNDNlNjg4ODRiYTUwYWYzYWVjZDIzNjcifQ=="/>
  </w:docVars>
  <w:rsids>
    <w:rsidRoot w:val="009036FB"/>
    <w:rsid w:val="003F5380"/>
    <w:rsid w:val="005F04B3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4624A99"/>
    <w:rsid w:val="04661011"/>
    <w:rsid w:val="04BD1BA7"/>
    <w:rsid w:val="0BE44893"/>
    <w:rsid w:val="0C197EFD"/>
    <w:rsid w:val="0C886EAB"/>
    <w:rsid w:val="118F7958"/>
    <w:rsid w:val="153C0E2B"/>
    <w:rsid w:val="17600C4E"/>
    <w:rsid w:val="1A6E068E"/>
    <w:rsid w:val="20315E0F"/>
    <w:rsid w:val="20792A83"/>
    <w:rsid w:val="21537630"/>
    <w:rsid w:val="283D0195"/>
    <w:rsid w:val="289A2EF7"/>
    <w:rsid w:val="2D126E0D"/>
    <w:rsid w:val="2D7F0C44"/>
    <w:rsid w:val="2ED9699B"/>
    <w:rsid w:val="31473E7A"/>
    <w:rsid w:val="318E1295"/>
    <w:rsid w:val="364F21ED"/>
    <w:rsid w:val="372142C2"/>
    <w:rsid w:val="388A4CBC"/>
    <w:rsid w:val="3BF75330"/>
    <w:rsid w:val="3FF605CD"/>
    <w:rsid w:val="468B3F91"/>
    <w:rsid w:val="4E2F67D9"/>
    <w:rsid w:val="50CD4459"/>
    <w:rsid w:val="540366B0"/>
    <w:rsid w:val="54211511"/>
    <w:rsid w:val="59186333"/>
    <w:rsid w:val="5B2E7E71"/>
    <w:rsid w:val="5EEDC3F8"/>
    <w:rsid w:val="60DA1397"/>
    <w:rsid w:val="635D0996"/>
    <w:rsid w:val="65FF0DA3"/>
    <w:rsid w:val="671F2A18"/>
    <w:rsid w:val="67432E68"/>
    <w:rsid w:val="67D43D31"/>
    <w:rsid w:val="6D876F5F"/>
    <w:rsid w:val="76DDF9C0"/>
    <w:rsid w:val="77B81EDB"/>
    <w:rsid w:val="7A387F61"/>
    <w:rsid w:val="7AF79EE2"/>
    <w:rsid w:val="7E5C8C4E"/>
    <w:rsid w:val="7F13034B"/>
    <w:rsid w:val="7F3F70A9"/>
    <w:rsid w:val="7F7F0ED8"/>
    <w:rsid w:val="7FFEDE2F"/>
    <w:rsid w:val="8FBBAD1D"/>
    <w:rsid w:val="BC375350"/>
    <w:rsid w:val="F77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10</Pages>
  <Words>637</Words>
  <Characters>3634</Characters>
  <Lines>30</Lines>
  <Paragraphs>8</Paragraphs>
  <TotalTime>14</TotalTime>
  <ScaleCrop>false</ScaleCrop>
  <LinksUpToDate>false</LinksUpToDate>
  <CharactersWithSpaces>4263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2020-01-08T02:42:00Z</dcterms:created>
  <dc:creator>Administrator</dc:creator>
  <cp:lastModifiedBy>7</cp:lastModifiedBy>
  <cp:lastPrinted>2024-01-19T01:54:00Z</cp:lastPrinted>
  <dcterms:modified xsi:type="dcterms:W3CDTF">2024-01-19T02:58:15Z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88C9F9DA849E46FCA024825035A0B913</vt:lpwstr>
  </property>
</Properties>
</file>