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6"/>
        <w:gridCol w:w="582"/>
        <w:gridCol w:w="829"/>
        <w:gridCol w:w="3715"/>
        <w:gridCol w:w="1920"/>
        <w:gridCol w:w="990"/>
        <w:gridCol w:w="585"/>
        <w:gridCol w:w="1245"/>
        <w:gridCol w:w="5044"/>
        <w:gridCol w:w="240"/>
      </w:tblGrid>
      <w:tr w14:paraId="2B25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exact"/>
        </w:trPr>
        <w:tc>
          <w:tcPr>
            <w:tcW w:w="5000" w:type="pct"/>
            <w:gridSpan w:val="10"/>
            <w:tcBorders>
              <w:top w:val="nil"/>
              <w:left w:val="nil"/>
              <w:bottom w:val="nil"/>
              <w:right w:val="nil"/>
            </w:tcBorders>
            <w:shd w:val="clear" w:color="auto" w:fill="auto"/>
            <w:vAlign w:val="center"/>
          </w:tcPr>
          <w:p w14:paraId="17A8A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b/>
                <w:bCs/>
                <w:i w:val="0"/>
                <w:iCs w:val="0"/>
                <w:color w:val="000000"/>
                <w:sz w:val="18"/>
                <w:szCs w:val="18"/>
                <w:u w:val="none"/>
              </w:rPr>
            </w:pPr>
            <w:r>
              <w:rPr>
                <w:rStyle w:val="6"/>
                <w:rFonts w:hint="eastAsia" w:ascii="方正小标宋简体" w:hAnsi="方正小标宋简体" w:eastAsia="方正小标宋简体" w:cs="方正小标宋简体"/>
                <w:sz w:val="24"/>
                <w:szCs w:val="24"/>
                <w:lang w:val="en-US" w:eastAsia="zh-CN" w:bidi="ar"/>
              </w:rPr>
              <w:t>药品零售企业监督检查记录表（2024版）</w:t>
            </w:r>
            <w:r>
              <w:rPr>
                <w:rStyle w:val="6"/>
                <w:rFonts w:hint="eastAsia" w:ascii="方正小标宋简体" w:hAnsi="方正小标宋简体" w:eastAsia="方正小标宋简体" w:cs="方正小标宋简体"/>
                <w:sz w:val="24"/>
                <w:szCs w:val="24"/>
                <w:lang w:val="en-US" w:eastAsia="zh-CN" w:bidi="ar"/>
              </w:rPr>
              <w:br w:type="textWrapping"/>
            </w:r>
            <w:r>
              <w:rPr>
                <w:rStyle w:val="7"/>
                <w:rFonts w:hint="eastAsia" w:ascii="方正小标宋简体" w:hAnsi="方正小标宋简体" w:eastAsia="方正小标宋简体" w:cs="方正小标宋简体"/>
                <w:b w:val="0"/>
                <w:bCs w:val="0"/>
                <w:sz w:val="21"/>
                <w:szCs w:val="21"/>
                <w:lang w:val="en-US" w:eastAsia="zh-CN" w:bidi="ar"/>
              </w:rPr>
              <w:t>□常规检查    □有因检查    □其他检查</w:t>
            </w:r>
          </w:p>
        </w:tc>
      </w:tr>
      <w:tr w14:paraId="3260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29" w:type="pct"/>
            <w:gridSpan w:val="2"/>
            <w:tcBorders>
              <w:top w:val="single" w:color="000000" w:sz="4" w:space="0"/>
              <w:left w:val="single" w:color="000000" w:sz="4" w:space="0"/>
              <w:bottom w:val="single" w:color="000000" w:sz="4" w:space="0"/>
              <w:right w:val="nil"/>
            </w:tcBorders>
            <w:shd w:val="clear" w:color="auto" w:fill="auto"/>
            <w:vAlign w:val="center"/>
          </w:tcPr>
          <w:p w14:paraId="4148A43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被检查单位</w:t>
            </w:r>
          </w:p>
        </w:tc>
        <w:tc>
          <w:tcPr>
            <w:tcW w:w="1456" w:type="pct"/>
            <w:gridSpan w:val="2"/>
            <w:tcBorders>
              <w:top w:val="single" w:color="000000" w:sz="4" w:space="0"/>
              <w:left w:val="single" w:color="000000" w:sz="4" w:space="0"/>
              <w:bottom w:val="single" w:color="000000" w:sz="4" w:space="0"/>
              <w:right w:val="nil"/>
            </w:tcBorders>
            <w:shd w:val="clear" w:color="auto" w:fill="auto"/>
            <w:vAlign w:val="center"/>
          </w:tcPr>
          <w:p w14:paraId="2F8C841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p>
        </w:tc>
        <w:tc>
          <w:tcPr>
            <w:tcW w:w="615" w:type="pct"/>
            <w:tcBorders>
              <w:top w:val="single" w:color="000000" w:sz="4" w:space="0"/>
              <w:left w:val="single" w:color="000000" w:sz="4" w:space="0"/>
              <w:bottom w:val="single" w:color="000000" w:sz="4" w:space="0"/>
              <w:right w:val="single" w:color="auto" w:sz="4" w:space="0"/>
            </w:tcBorders>
            <w:shd w:val="clear" w:color="auto" w:fill="auto"/>
            <w:vAlign w:val="center"/>
          </w:tcPr>
          <w:p w14:paraId="7EB999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法定代表/主要负责人</w:t>
            </w:r>
          </w:p>
        </w:tc>
        <w:tc>
          <w:tcPr>
            <w:tcW w:w="504" w:type="pct"/>
            <w:gridSpan w:val="2"/>
            <w:tcBorders>
              <w:top w:val="single" w:color="000000" w:sz="4" w:space="0"/>
              <w:left w:val="single" w:color="auto" w:sz="4" w:space="0"/>
              <w:bottom w:val="single" w:color="000000" w:sz="4" w:space="0"/>
              <w:right w:val="nil"/>
            </w:tcBorders>
            <w:shd w:val="clear" w:color="auto" w:fill="auto"/>
            <w:vAlign w:val="center"/>
          </w:tcPr>
          <w:p w14:paraId="56E8DAD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b/>
                <w:bCs/>
                <w:i w:val="0"/>
                <w:iCs w:val="0"/>
                <w:color w:val="000000"/>
                <w:kern w:val="0"/>
                <w:sz w:val="18"/>
                <w:szCs w:val="18"/>
                <w:u w:val="none"/>
                <w:lang w:val="en-US" w:eastAsia="zh-CN" w:bidi="ar"/>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FB63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联系电话</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471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 xml:space="preserve"> </w:t>
            </w:r>
          </w:p>
        </w:tc>
        <w:tc>
          <w:tcPr>
            <w:tcW w:w="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886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p>
        </w:tc>
      </w:tr>
      <w:tr w14:paraId="4A15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29" w:type="pct"/>
            <w:gridSpan w:val="2"/>
            <w:tcBorders>
              <w:top w:val="single" w:color="000000" w:sz="4" w:space="0"/>
              <w:left w:val="single" w:color="000000" w:sz="4" w:space="0"/>
              <w:bottom w:val="single" w:color="000000" w:sz="4" w:space="0"/>
              <w:right w:val="nil"/>
            </w:tcBorders>
            <w:shd w:val="clear" w:color="auto" w:fill="auto"/>
            <w:vAlign w:val="center"/>
          </w:tcPr>
          <w:p w14:paraId="5B95DB4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经营地址</w:t>
            </w:r>
          </w:p>
        </w:tc>
        <w:tc>
          <w:tcPr>
            <w:tcW w:w="2072" w:type="pct"/>
            <w:gridSpan w:val="3"/>
            <w:tcBorders>
              <w:top w:val="single" w:color="000000" w:sz="4" w:space="0"/>
              <w:left w:val="nil"/>
              <w:bottom w:val="single" w:color="000000" w:sz="4" w:space="0"/>
              <w:right w:val="single" w:color="auto" w:sz="4" w:space="0"/>
            </w:tcBorders>
            <w:shd w:val="clear" w:color="auto" w:fill="auto"/>
            <w:vAlign w:val="center"/>
          </w:tcPr>
          <w:p w14:paraId="58C2ABC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p>
        </w:tc>
        <w:tc>
          <w:tcPr>
            <w:tcW w:w="504"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E9835C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7D2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许可证编号</w:t>
            </w:r>
          </w:p>
        </w:tc>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5AB3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b/>
                <w:bCs/>
                <w:i w:val="0"/>
                <w:iCs w:val="0"/>
                <w:color w:val="000000"/>
                <w:sz w:val="18"/>
                <w:szCs w:val="18"/>
                <w:u w:val="none"/>
              </w:rPr>
            </w:pPr>
          </w:p>
        </w:tc>
      </w:tr>
      <w:tr w14:paraId="1AA6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234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序号</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9F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分类</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F53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检查内容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66DB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检查情况</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451B5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w w:val="90"/>
                <w:sz w:val="18"/>
                <w:szCs w:val="18"/>
                <w:u w:val="none"/>
              </w:rPr>
            </w:pPr>
            <w:r>
              <w:rPr>
                <w:rFonts w:hint="eastAsia" w:asciiTheme="majorEastAsia" w:hAnsiTheme="majorEastAsia" w:eastAsiaTheme="majorEastAsia" w:cstheme="majorEastAsia"/>
                <w:b/>
                <w:bCs/>
                <w:i w:val="0"/>
                <w:iCs w:val="0"/>
                <w:color w:val="000000"/>
                <w:spacing w:val="1"/>
                <w:w w:val="83"/>
                <w:kern w:val="0"/>
                <w:sz w:val="18"/>
                <w:szCs w:val="18"/>
                <w:u w:val="none"/>
                <w:fitText w:val="302" w:id="2079155642"/>
                <w:lang w:val="en-US" w:eastAsia="zh-CN" w:bidi="ar"/>
              </w:rPr>
              <w:t>扣</w:t>
            </w:r>
            <w:r>
              <w:rPr>
                <w:rFonts w:hint="eastAsia" w:asciiTheme="majorEastAsia" w:hAnsiTheme="majorEastAsia" w:eastAsiaTheme="majorEastAsia" w:cstheme="majorEastAsia"/>
                <w:b/>
                <w:bCs/>
                <w:i w:val="0"/>
                <w:iCs w:val="0"/>
                <w:color w:val="000000"/>
                <w:spacing w:val="0"/>
                <w:w w:val="83"/>
                <w:kern w:val="0"/>
                <w:sz w:val="18"/>
                <w:szCs w:val="18"/>
                <w:u w:val="none"/>
                <w:fitText w:val="302" w:id="2079155642"/>
                <w:lang w:val="en-US" w:eastAsia="zh-CN" w:bidi="ar"/>
              </w:rPr>
              <w:t>分</w:t>
            </w:r>
          </w:p>
        </w:tc>
        <w:tc>
          <w:tcPr>
            <w:tcW w:w="2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FB93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b/>
                <w:bCs/>
                <w:i w:val="0"/>
                <w:iCs w:val="0"/>
                <w:color w:val="000000"/>
                <w:sz w:val="18"/>
                <w:szCs w:val="18"/>
                <w:u w:val="none"/>
              </w:rPr>
            </w:pPr>
            <w:r>
              <w:rPr>
                <w:rFonts w:hint="eastAsia" w:asciiTheme="majorEastAsia" w:hAnsiTheme="majorEastAsia" w:eastAsiaTheme="majorEastAsia" w:cstheme="majorEastAsia"/>
                <w:b/>
                <w:bCs/>
                <w:i w:val="0"/>
                <w:iCs w:val="0"/>
                <w:color w:val="000000"/>
                <w:kern w:val="0"/>
                <w:sz w:val="18"/>
                <w:szCs w:val="18"/>
                <w:u w:val="none"/>
                <w:lang w:val="en-US" w:eastAsia="zh-CN" w:bidi="ar"/>
              </w:rPr>
              <w:t>发现问题情况</w:t>
            </w:r>
          </w:p>
        </w:tc>
      </w:tr>
      <w:tr w14:paraId="478E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A1CA3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B60A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药品经营许可</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34E72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擅自变更企业名称、经营地址、仓库地址、法定代表人、主要负责人、质量负责人等内容。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242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w:t>
            </w:r>
            <w:r>
              <w:rPr>
                <w:rFonts w:hint="eastAsia" w:asciiTheme="majorEastAsia" w:hAnsiTheme="majorEastAsia" w:eastAsiaTheme="majorEastAsia" w:cstheme="majorEastAsia"/>
                <w:i w:val="0"/>
                <w:iCs w:val="0"/>
                <w:color w:val="000000"/>
                <w:kern w:val="0"/>
                <w:sz w:val="18"/>
                <w:szCs w:val="18"/>
                <w:u w:val="none"/>
                <w:lang w:val="en-US" w:eastAsia="zh-CN" w:bidi="ar"/>
              </w:rPr>
              <w:t>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F0E195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E948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775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B221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BB0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42488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出租、出借许可证从事药品经营活动的行为。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A1D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A8573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E76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C86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36F3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DEBA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07DC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为他人提供药品经营、储存场所的。</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A9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923854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C84C">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7F9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9ECF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362F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DD18B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为他人提供票据。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B6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A5591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66F3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E226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5E43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C844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9484B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挂靠经营，超方式、超范围经营等问题。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DF76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1DF27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7E0EC">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6F6C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450E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2</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2E98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经营场所</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50106">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营业场所与仓库、办公、生活等区域未分开并无隔离措施。</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FB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39FBD7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4258C">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72CF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9B3B">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B53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5F936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营业场所存在不卫生、不整洁、不干燥，墙壁、顶棚不光洁，地面不平整、有缝隙。</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6447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11134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EFC8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152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67A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5BA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64BA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门窗结构不严密牢固，周围环境不整洁、有污染源等问题。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C0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F83EE1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61C2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874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A62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D4F7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陈列情况</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4567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经营非药品未设置专区，与药品区域无明显隔离，并无醒目标志。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7C2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546FB4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75D2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97A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8CD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AE8E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C20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营业场所内药品没有按剂型、用途以及储存要求分类陈列。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3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FF2E55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5FFE">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7B4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DB56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6EFB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BCAA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处方药与非处方药、内服药与外用药等未分开陈列摆放，标志不规范、不醒目。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BC7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6257E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9F7F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D37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18C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7721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A2B0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在药品陈列区域存放与经营活动无关的物品及私人用品。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919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366C4B6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CC36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DFC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065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30A4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人员及制度管理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1879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未设置质量管理、采购、验收、养护、保管及营业等岗位。</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93B0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6E6A6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52A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F06B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F34A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B8F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A6841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各岗位人员未进行法律法规及药品专业知识的岗前培训和继续培训。</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E303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AAA639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9D7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8FC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575A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5FA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9804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在该药店注册的执业药师或药学技术人员不在岗不能履行工作职责。</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16B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E24441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2EFC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56D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692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393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88F7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企业制定质量管理体系文件不符合企业实际。</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998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0F671F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91C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E76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015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995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549EB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质量管理、验收、养护、储存等直接接触药品岗位的人员未进行岗前及年度健康检查，并未建立健康档案。</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4D5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A1374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DE42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1B4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exac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50BF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A98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Theme="majorEastAsia" w:hAnsiTheme="majorEastAsia" w:eastAsiaTheme="majorEastAsia" w:cstheme="majorEastAsia"/>
                <w:i w:val="0"/>
                <w:iCs w:val="0"/>
                <w:color w:val="000000"/>
                <w:kern w:val="0"/>
                <w:sz w:val="15"/>
                <w:szCs w:val="15"/>
                <w:u w:val="none"/>
                <w:lang w:val="en-US" w:eastAsia="zh-CN" w:bidi="ar"/>
              </w:rPr>
            </w:pPr>
            <w:r>
              <w:rPr>
                <w:rFonts w:hint="eastAsia" w:asciiTheme="majorEastAsia" w:hAnsiTheme="majorEastAsia" w:eastAsiaTheme="majorEastAsia" w:cstheme="majorEastAsia"/>
                <w:i w:val="0"/>
                <w:iCs w:val="0"/>
                <w:color w:val="000000"/>
                <w:w w:val="90"/>
                <w:kern w:val="0"/>
                <w:sz w:val="13"/>
                <w:szCs w:val="13"/>
                <w:u w:val="none"/>
                <w:lang w:val="en-US" w:eastAsia="zh-CN" w:bidi="ar"/>
              </w:rPr>
              <w:t>计算机系统</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5771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计算机管理系统不能覆盖企业内药品的购进、储存、销售以及经营和质量控制的全过程。</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D7E6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9AE708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9F0F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AE0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226F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7F6B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温湿度监测与调控情况</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1F268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营业场所和仓库未配置监测和调节温、湿度的设备并有效使用。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2D0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297513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7EB6B">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1EA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D38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9B99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8E4ED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未按照药品说明书规定的常温、阴凉、冷藏等条件储存、陈列药品。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8029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DCC3F9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C7E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97E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588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A269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90636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未设置阴凉柜（区、橱），经营冷藏药品的，无冷藏设备。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D6A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59EA97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41D9B">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272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6B41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806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862D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未建立温湿度记录。</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3CD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081559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80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9F3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217E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2FC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5ACD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药品经营的相关计量器具未定期进行校准或者检定。</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45E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27B6214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0F9E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E9E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exac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B04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7</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290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连锁门店</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D2281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未做到“七统一”，即统一企业标识、统一管理制度、统一计算机系统、统一人员培训、统一采购配送、统一票据管理、统一药学服务标准，连锁门店从总部外其他企业采购药品。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2C4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7D270C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w:t>
            </w:r>
          </w:p>
        </w:tc>
        <w:tc>
          <w:tcPr>
            <w:tcW w:w="2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71DF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598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340F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D3C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处方药管理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05FC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开架销售处方药。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787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B39344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1D94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668F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E14B">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997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0069C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处方药未凭医师处方销售。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BF3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9BA520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25BC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134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A54B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7330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A7BFE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销售处方药，处方未经执业药师审核。</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FA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3BCD17D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492B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86A9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E49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BA90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6589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处方审核、调配、核对人员是未经过资格认定的药师或者其他药学技术人员，未在处方上签字或盖章。</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AC1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771247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32AD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64622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80B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853F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AFAA8">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8"/>
                <w:szCs w:val="18"/>
                <w:u w:val="none"/>
                <w:lang w:val="en-US" w:eastAsia="zh-CN" w:bidi="ar"/>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处方留存不齐全。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E5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0EF3F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D5E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D2B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B253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9</w:t>
            </w:r>
          </w:p>
        </w:tc>
        <w:tc>
          <w:tcPr>
            <w:tcW w:w="186" w:type="pct"/>
            <w:vMerge w:val="restart"/>
            <w:tcBorders>
              <w:top w:val="single" w:color="000000" w:sz="4" w:space="0"/>
              <w:left w:val="single" w:color="000000" w:sz="4" w:space="0"/>
              <w:right w:val="single" w:color="000000" w:sz="4" w:space="0"/>
            </w:tcBorders>
            <w:shd w:val="clear" w:color="auto" w:fill="auto"/>
            <w:vAlign w:val="center"/>
          </w:tcPr>
          <w:p w14:paraId="527D23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销售药品</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F419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企业销售药品未开具销售凭证，包括药品名称、生产厂商、数量、价格、批号、规格等内容核。</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94E6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24D8EA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368F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9EE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A96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left w:val="single" w:color="000000" w:sz="4" w:space="0"/>
              <w:right w:val="single" w:color="000000" w:sz="4" w:space="0"/>
            </w:tcBorders>
            <w:shd w:val="clear" w:color="auto" w:fill="auto"/>
            <w:vAlign w:val="center"/>
          </w:tcPr>
          <w:p w14:paraId="55D46D1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5703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存在销售变质的、被污染的、超过有效期的、未注明或者更改产品批号的药品以及非药品冒充药品销售等涉嫌销售假劣药品行为。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BB5C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1A3174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73E1B">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7E1B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52D6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AE7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r>
              <w:rPr>
                <w:rFonts w:hint="eastAsia" w:asciiTheme="majorEastAsia" w:hAnsiTheme="majorEastAsia" w:eastAsiaTheme="majorEastAsia" w:cstheme="majorEastAsia"/>
                <w:i w:val="0"/>
                <w:iCs w:val="0"/>
                <w:color w:val="000000"/>
                <w:kern w:val="0"/>
                <w:sz w:val="15"/>
                <w:szCs w:val="15"/>
                <w:u w:val="none"/>
                <w:lang w:val="en-US" w:eastAsia="zh-CN" w:bidi="ar"/>
              </w:rPr>
              <w:t>经营</w:t>
            </w: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w:t>
            </w:r>
          </w:p>
          <w:p w14:paraId="6BA8693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4FF1D5F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r>
              <w:rPr>
                <w:rFonts w:hint="eastAsia" w:asciiTheme="majorEastAsia" w:hAnsiTheme="majorEastAsia" w:eastAsiaTheme="majorEastAsia" w:cstheme="majorEastAsia"/>
                <w:i w:val="0"/>
                <w:iCs w:val="0"/>
                <w:color w:val="000000"/>
                <w:kern w:val="0"/>
                <w:sz w:val="11"/>
                <w:szCs w:val="11"/>
                <w:u w:val="none"/>
                <w:lang w:val="en-US" w:eastAsia="zh-CN" w:bidi="ar"/>
              </w:rPr>
              <w:t>范围</w:t>
            </w:r>
          </w:p>
          <w:p w14:paraId="10BB82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12870BF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2B4D85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23D3040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36351F7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5E05821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p w14:paraId="61823F8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D947C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100"/>
                <w:kern w:val="0"/>
                <w:sz w:val="18"/>
                <w:szCs w:val="18"/>
                <w:u w:val="none"/>
                <w:lang w:val="en-US" w:eastAsia="zh-CN" w:bidi="ar"/>
              </w:rPr>
              <w:t>存在超出核准经营范围经营药品行为。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DBC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16A40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42C0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37F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A751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restart"/>
            <w:tcBorders>
              <w:top w:val="single" w:color="000000" w:sz="4" w:space="0"/>
              <w:left w:val="single" w:color="000000" w:sz="4" w:space="0"/>
              <w:right w:val="single" w:color="000000" w:sz="4" w:space="0"/>
            </w:tcBorders>
            <w:shd w:val="clear" w:color="auto" w:fill="auto"/>
            <w:vAlign w:val="center"/>
          </w:tcPr>
          <w:p w14:paraId="7D183FE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6"/>
                <w:szCs w:val="16"/>
                <w:u w:val="none"/>
                <w:lang w:val="en-US" w:eastAsia="zh-CN" w:bidi="ar"/>
              </w:rPr>
              <w:t>范围</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0AAFF">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100"/>
                <w:kern w:val="0"/>
                <w:sz w:val="18"/>
                <w:szCs w:val="18"/>
                <w:u w:val="none"/>
                <w:lang w:val="en-US" w:eastAsia="zh-CN" w:bidi="ar"/>
              </w:rPr>
              <w:t>有经营疫苗、医疗机构制剂、中药配方颗粒的行为。</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C22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35C5D1E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7F8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0B1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42A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FFFB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B39F6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销售麻醉药品、第一类精神药品、放射性药品、药品类易制毒化学品、蛋白同化制剂、肽类激素（胰岛素除外）、终止妊娠药品等国家禁止零售的药品。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2DC0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1973B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4E9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D20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F3C1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11</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EDCB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r>
              <w:rPr>
                <w:rFonts w:hint="eastAsia" w:asciiTheme="majorEastAsia" w:hAnsiTheme="majorEastAsia" w:eastAsiaTheme="majorEastAsia" w:cstheme="majorEastAsia"/>
                <w:i w:val="0"/>
                <w:iCs w:val="0"/>
                <w:color w:val="000000"/>
                <w:kern w:val="0"/>
                <w:sz w:val="15"/>
                <w:szCs w:val="15"/>
                <w:u w:val="none"/>
                <w:lang w:val="en-US" w:eastAsia="zh-CN" w:bidi="ar"/>
              </w:rPr>
              <w:t>特殊药品管理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F9FEB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经营第二类精神药品、毒性中药品种和罂粟壳的，没有符合安全规定的专用存放设备，销售上述药品没有按照规定限量销售。</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CD50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CC7144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89E0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CF3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D89B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3EB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7FE9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销售含麻黄碱类复方制剂，存在开架销售现象，没有设置专柜由专人管理、专册登记，没有按照规定登记药品名称、规格、销售数量、生产企业、生产批号、购买人姓名、身份证号码。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F54B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740A65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9078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243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A05F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12</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B02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购销管理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C9F6B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从非药品上市许可持有人或者不具有药品生产、经营资格的企业购进药品。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6AC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B90CEE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46</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A392C">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FF1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A8B7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5ED3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EC1F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企业未对首营企业和首营品种进行包括资格和质量保证能力的审核，未对供货单位进行合法性审核，审核资质材料未留存齐备。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DF3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3EC0D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3B5C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6C9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8BA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6D1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F7F2A">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采购药品时，企业未向供货单位索取发票。</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A444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3DFE708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C574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FA4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F038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DDF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73C0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未按规定建立购进记录，做到票、账、货相符，购进记录项目内容填写存在不齐全、漏写、简写问题。</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A1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B0F7D3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6ACF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082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E64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13</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1542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1"/>
                <w:szCs w:val="11"/>
                <w:u w:val="none"/>
                <w:lang w:val="en-US" w:eastAsia="zh-CN" w:bidi="ar"/>
              </w:rPr>
            </w:pPr>
            <w:r>
              <w:rPr>
                <w:rFonts w:hint="eastAsia" w:asciiTheme="majorEastAsia" w:hAnsiTheme="majorEastAsia" w:eastAsiaTheme="majorEastAsia" w:cstheme="majorEastAsia"/>
                <w:i w:val="0"/>
                <w:iCs w:val="0"/>
                <w:color w:val="000000"/>
                <w:kern w:val="0"/>
                <w:sz w:val="15"/>
                <w:szCs w:val="15"/>
                <w:u w:val="none"/>
                <w:lang w:val="en-US" w:eastAsia="zh-CN" w:bidi="ar"/>
              </w:rPr>
              <w:t>经营中药饮片管理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CC5C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经营范围有中药饮片，营业场所无存放饮片和处方调配的设备。</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0604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9D8D97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A0E3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E30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4F63C">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B93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38473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中药饮片斗前药名书写未使用正名正字。</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64C8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5FCD45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F31B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2B9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9AF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57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A1EC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中药饮片装斗前未做质量复核，存在错斗、串斗、混药。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2AEA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01604B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AD5A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D33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62D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A2A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E7384">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中药饮片存在生虫、发霉等现象。</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BDD2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57617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10</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A9B8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AA2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8D3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1845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D3B6C">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中药饮片包装标识内容不完整。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FEC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818C8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E58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556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93EB8">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14</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9EB45">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kern w:val="0"/>
                <w:sz w:val="18"/>
                <w:szCs w:val="18"/>
                <w:u w:val="none"/>
                <w:lang w:val="en-US" w:eastAsia="zh-CN" w:bidi="ar"/>
              </w:rPr>
            </w:pPr>
            <w:r>
              <w:rPr>
                <w:rFonts w:hint="eastAsia" w:asciiTheme="majorEastAsia" w:hAnsiTheme="majorEastAsia" w:eastAsiaTheme="majorEastAsia" w:cstheme="majorEastAsia"/>
                <w:i w:val="0"/>
                <w:iCs w:val="0"/>
                <w:color w:val="000000"/>
                <w:kern w:val="0"/>
                <w:sz w:val="18"/>
                <w:szCs w:val="18"/>
                <w:u w:val="none"/>
                <w:lang w:val="en-US" w:eastAsia="zh-CN" w:bidi="ar"/>
              </w:rPr>
              <w:t>拆零管理</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0BC3A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拆零销售的药品未集中存放于拆零专柜或者专区，未配有所需的调配工具、包装用品。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C42E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D5D3F1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C235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154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969D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28E32">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C1974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拆零的工作台及工具未保持清洁、卫生。</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AAF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58C44B6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2E3C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53C9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28EB1">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997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762F2">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无拆零销售记录。</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7FE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7A97F20">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7E34D">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634A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2C2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B595E">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89155">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拆零销售未使用洁净、卫生的包装，包装上未注明药品名称、规格、数量、用法、用量、批号、有效期以及药店名称等内容。</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5D6A4">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06182BA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DDAB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4CE0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C996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511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187F7">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8"/>
                <w:szCs w:val="18"/>
                <w:u w:val="none"/>
                <w:lang w:val="en-US" w:eastAsia="zh-CN" w:bidi="ar"/>
              </w:rPr>
              <w:t>销售药品未提供药品说明书原件或者复印件。</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B582">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38B6378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7543">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F15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exact"/>
        </w:trPr>
        <w:tc>
          <w:tcPr>
            <w:tcW w:w="1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684B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15</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F0811">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药品网络销售</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93AAB">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从事网络销售药品行为，未进行信息登记报告，信息发生变化的，未在10个工作日内报告。</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FDBE">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505FEBF">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5</w:t>
            </w:r>
          </w:p>
        </w:tc>
        <w:tc>
          <w:tcPr>
            <w:tcW w:w="20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B3F0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78DF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EB79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8C78">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E23F63">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在药品网络销售平台首页等页面，展示处方药包装、标签等信息。</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3841">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4B5B41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DE9EE">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252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D6329">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6F0A">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C52AE">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网站首页或者经营活动的主页面显著位置展示的信息与实际不一致。</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C0E1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40B0BF5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53FF">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3B3B5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87E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CD8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24058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存在国家药监局公布的《药品网络销售禁止清单》中禁止销售的药品。</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4DB7">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731476E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31</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1E326">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2FEE6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exact"/>
        </w:trPr>
        <w:tc>
          <w:tcPr>
            <w:tcW w:w="1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2395">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D7D7">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D7B3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kern w:val="0"/>
                <w:sz w:val="16"/>
                <w:szCs w:val="16"/>
                <w:u w:val="none"/>
                <w:lang w:val="en-US" w:eastAsia="zh-CN" w:bidi="ar"/>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网络销售药品经营行为不符合线上线下一致原则。</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187B">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6C61F43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8</w:t>
            </w:r>
          </w:p>
        </w:tc>
        <w:tc>
          <w:tcPr>
            <w:tcW w:w="20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9B980">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006C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exact"/>
        </w:trPr>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6E996">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16</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850C">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其它</w:t>
            </w:r>
          </w:p>
        </w:tc>
        <w:tc>
          <w:tcPr>
            <w:tcW w:w="207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9A5D1D">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w w:val="90"/>
                <w:sz w:val="18"/>
                <w:szCs w:val="18"/>
                <w:u w:val="none"/>
              </w:rPr>
            </w:pPr>
            <w:r>
              <w:rPr>
                <w:rFonts w:hint="eastAsia" w:asciiTheme="majorEastAsia" w:hAnsiTheme="majorEastAsia" w:eastAsiaTheme="majorEastAsia" w:cstheme="majorEastAsia"/>
                <w:i w:val="0"/>
                <w:iCs w:val="0"/>
                <w:color w:val="000000"/>
                <w:w w:val="90"/>
                <w:kern w:val="0"/>
                <w:sz w:val="16"/>
                <w:szCs w:val="16"/>
                <w:u w:val="none"/>
                <w:lang w:val="en-US" w:eastAsia="zh-CN" w:bidi="ar"/>
              </w:rPr>
              <w:t>其他不符合药品经营质量管理相关法律法规情形。</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F7DD9">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是□否□</w:t>
            </w:r>
          </w:p>
        </w:tc>
        <w:tc>
          <w:tcPr>
            <w:tcW w:w="187" w:type="pct"/>
            <w:tcBorders>
              <w:top w:val="single" w:color="000000" w:sz="4" w:space="0"/>
              <w:left w:val="single" w:color="000000" w:sz="4" w:space="0"/>
              <w:bottom w:val="single" w:color="000000" w:sz="4" w:space="0"/>
              <w:right w:val="nil"/>
            </w:tcBorders>
            <w:shd w:val="clear" w:color="auto" w:fill="auto"/>
            <w:vAlign w:val="center"/>
          </w:tcPr>
          <w:p w14:paraId="188DC5FD">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6</w:t>
            </w:r>
          </w:p>
        </w:tc>
        <w:tc>
          <w:tcPr>
            <w:tcW w:w="209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9C7C84">
            <w:pPr>
              <w:keepNext w:val="0"/>
              <w:keepLines w:val="0"/>
              <w:pageBreakBefore w:val="0"/>
              <w:widowControl/>
              <w:kinsoku/>
              <w:wordWrap/>
              <w:overflowPunct/>
              <w:topLinePunct w:val="0"/>
              <w:autoSpaceDE/>
              <w:autoSpaceDN/>
              <w:bidi w:val="0"/>
              <w:adjustRightInd/>
              <w:snapToGrid/>
              <w:spacing w:line="220" w:lineRule="exact"/>
              <w:jc w:val="center"/>
              <w:rPr>
                <w:rFonts w:hint="eastAsia" w:asciiTheme="majorEastAsia" w:hAnsiTheme="majorEastAsia" w:eastAsiaTheme="majorEastAsia" w:cstheme="majorEastAsia"/>
                <w:i w:val="0"/>
                <w:iCs w:val="0"/>
                <w:color w:val="000000"/>
                <w:sz w:val="18"/>
                <w:szCs w:val="18"/>
                <w:u w:val="none"/>
              </w:rPr>
            </w:pPr>
          </w:p>
        </w:tc>
      </w:tr>
      <w:tr w14:paraId="18EAC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exact"/>
        </w:trPr>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A811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检查处理意见</w:t>
            </w:r>
          </w:p>
        </w:tc>
        <w:tc>
          <w:tcPr>
            <w:tcW w:w="440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9477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依据《中华人民共和国药品管理法》《药品经营和使用质量监督管理办法》《药品网络销售监督管理办法》《药品经营质量管理规范》等法律法规，处理意见如下：</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1、涉嫌违法，对违法违规行为依法进行查处。</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2、责令你单位于     年   月   日前整改存在的问题，并在以后严格执行药品GSP规定，依法依规经营。</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 xml:space="preserve">3、整改完成后，以书面形式将整改报告报 </w:t>
            </w:r>
            <w:r>
              <w:rPr>
                <w:rFonts w:hint="eastAsia" w:asciiTheme="majorEastAsia" w:hAnsiTheme="majorEastAsia" w:eastAsiaTheme="majorEastAsia" w:cstheme="majorEastAsia"/>
                <w:i w:val="0"/>
                <w:iCs w:val="0"/>
                <w:color w:val="000000"/>
                <w:kern w:val="0"/>
                <w:sz w:val="18"/>
                <w:szCs w:val="18"/>
                <w:u w:val="single"/>
                <w:lang w:val="en-US" w:eastAsia="zh-CN" w:bidi="ar"/>
              </w:rPr>
              <w:t xml:space="preserve">               </w:t>
            </w:r>
            <w:r>
              <w:rPr>
                <w:rFonts w:hint="eastAsia" w:asciiTheme="majorEastAsia" w:hAnsiTheme="majorEastAsia" w:eastAsiaTheme="majorEastAsia" w:cstheme="majorEastAsia"/>
                <w:i w:val="0"/>
                <w:iCs w:val="0"/>
                <w:color w:val="000000"/>
                <w:kern w:val="0"/>
                <w:sz w:val="18"/>
                <w:szCs w:val="18"/>
                <w:u w:val="none"/>
                <w:lang w:val="en-US" w:eastAsia="zh-CN" w:bidi="ar"/>
              </w:rPr>
              <w:t xml:space="preserve"> 市场监督管理部门。市场监督管理部门将依法组织随机检查。</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4、无需处理。</w:t>
            </w:r>
          </w:p>
        </w:tc>
      </w:tr>
      <w:tr w14:paraId="7F97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exac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EC1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被检查单位意见：                                                 检查人员签名：</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签  名：                       （公章）                                                                               市场监督管理局（所）</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 xml:space="preserve">                         年   月   日                                                                                 年   月   日</w:t>
            </w:r>
          </w:p>
        </w:tc>
      </w:tr>
      <w:tr w14:paraId="2BAE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5000" w:type="pct"/>
            <w:gridSpan w:val="10"/>
            <w:tcBorders>
              <w:top w:val="single" w:color="000000" w:sz="4" w:space="0"/>
              <w:left w:val="nil"/>
              <w:bottom w:val="nil"/>
              <w:right w:val="nil"/>
            </w:tcBorders>
            <w:shd w:val="clear" w:color="auto" w:fill="auto"/>
            <w:vAlign w:val="center"/>
          </w:tcPr>
          <w:p w14:paraId="7F7EE260">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Theme="majorEastAsia" w:hAnsiTheme="majorEastAsia" w:eastAsiaTheme="majorEastAsia" w:cstheme="majorEastAsia"/>
                <w:i w:val="0"/>
                <w:iCs w:val="0"/>
                <w:color w:val="000000"/>
                <w:sz w:val="18"/>
                <w:szCs w:val="18"/>
                <w:u w:val="none"/>
              </w:rPr>
            </w:pPr>
            <w:r>
              <w:rPr>
                <w:rFonts w:hint="eastAsia" w:asciiTheme="majorEastAsia" w:hAnsiTheme="majorEastAsia" w:eastAsiaTheme="majorEastAsia" w:cstheme="majorEastAsia"/>
                <w:i w:val="0"/>
                <w:iCs w:val="0"/>
                <w:color w:val="000000"/>
                <w:kern w:val="0"/>
                <w:sz w:val="18"/>
                <w:szCs w:val="18"/>
                <w:u w:val="none"/>
                <w:lang w:val="en-US" w:eastAsia="zh-CN" w:bidi="ar"/>
              </w:rPr>
              <w:t>注：本表一式两份，检查内容共计16项，分正反两面，检查单位、被检查单位各一份。</w:t>
            </w:r>
            <w:r>
              <w:rPr>
                <w:rFonts w:hint="eastAsia" w:asciiTheme="majorEastAsia" w:hAnsiTheme="majorEastAsia" w:eastAsiaTheme="majorEastAsia" w:cstheme="majorEastAsia"/>
                <w:i w:val="0"/>
                <w:iCs w:val="0"/>
                <w:color w:val="000000"/>
                <w:kern w:val="0"/>
                <w:sz w:val="18"/>
                <w:szCs w:val="18"/>
                <w:u w:val="none"/>
                <w:lang w:val="en-US" w:eastAsia="zh-CN" w:bidi="ar"/>
              </w:rPr>
              <w:br w:type="textWrapping"/>
            </w:r>
            <w:r>
              <w:rPr>
                <w:rFonts w:hint="eastAsia" w:asciiTheme="majorEastAsia" w:hAnsiTheme="majorEastAsia" w:eastAsiaTheme="majorEastAsia" w:cstheme="majorEastAsia"/>
                <w:i w:val="0"/>
                <w:iCs w:val="0"/>
                <w:color w:val="000000"/>
                <w:kern w:val="0"/>
                <w:sz w:val="18"/>
                <w:szCs w:val="18"/>
                <w:u w:val="none"/>
                <w:lang w:val="en-US" w:eastAsia="zh-CN" w:bidi="ar"/>
              </w:rPr>
              <w:t xml:space="preserve">                                                                </w:t>
            </w:r>
            <w:r>
              <w:rPr>
                <w:rStyle w:val="8"/>
                <w:rFonts w:hint="eastAsia" w:asciiTheme="majorEastAsia" w:hAnsiTheme="majorEastAsia" w:eastAsiaTheme="majorEastAsia" w:cstheme="majorEastAsia"/>
                <w:sz w:val="18"/>
                <w:szCs w:val="18"/>
                <w:lang w:val="en-US" w:eastAsia="zh-CN" w:bidi="ar"/>
              </w:rPr>
              <w:t>本表共两页（第二页)</w:t>
            </w:r>
          </w:p>
        </w:tc>
      </w:tr>
    </w:tbl>
    <w:p w14:paraId="4B27E06B"/>
    <w:sectPr>
      <w:pgSz w:w="16838" w:h="11906" w:orient="landscape"/>
      <w:pgMar w:top="720" w:right="720" w:bottom="720" w:left="72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zBhYTkwZjQwOTlmMjZlNGY5ZmZiYzg4NDBiYjQifQ=="/>
  </w:docVars>
  <w:rsids>
    <w:rsidRoot w:val="5C3D300F"/>
    <w:rsid w:val="14D058B3"/>
    <w:rsid w:val="1E971C89"/>
    <w:rsid w:val="2A3A138D"/>
    <w:rsid w:val="332D5F33"/>
    <w:rsid w:val="33A176DC"/>
    <w:rsid w:val="36953935"/>
    <w:rsid w:val="3BC733BD"/>
    <w:rsid w:val="5C3D300F"/>
    <w:rsid w:val="6A10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uiPriority w:val="0"/>
    <w:rPr>
      <w:rFonts w:hint="eastAsia" w:ascii="仿宋" w:hAnsi="仿宋" w:eastAsia="仿宋" w:cs="仿宋"/>
      <w:b/>
      <w:bCs/>
      <w:color w:val="000000"/>
      <w:sz w:val="40"/>
      <w:szCs w:val="40"/>
      <w:u w:val="none"/>
    </w:rPr>
  </w:style>
  <w:style w:type="character" w:customStyle="1" w:styleId="7">
    <w:name w:val="font81"/>
    <w:basedOn w:val="5"/>
    <w:qFormat/>
    <w:uiPriority w:val="0"/>
    <w:rPr>
      <w:rFonts w:hint="eastAsia" w:ascii="仿宋" w:hAnsi="仿宋" w:eastAsia="仿宋" w:cs="仿宋"/>
      <w:b/>
      <w:bCs/>
      <w:color w:val="000000"/>
      <w:sz w:val="24"/>
      <w:szCs w:val="24"/>
      <w:u w:val="none"/>
    </w:rPr>
  </w:style>
  <w:style w:type="character" w:customStyle="1" w:styleId="8">
    <w:name w:val="font91"/>
    <w:basedOn w:val="5"/>
    <w:uiPriority w:val="0"/>
    <w:rPr>
      <w:rFonts w:hint="eastAsia"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2431</Words>
  <Characters>2464</Characters>
  <Lines>0</Lines>
  <Paragraphs>0</Paragraphs>
  <TotalTime>16</TotalTime>
  <ScaleCrop>false</ScaleCrop>
  <LinksUpToDate>false</LinksUpToDate>
  <CharactersWithSpaces>2837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2024-04-11T03:30:00Z</dcterms:created>
  <dc:creator>一路上有你</dc:creator>
  <cp:lastModifiedBy>Administrator</cp:lastModifiedBy>
  <cp:lastPrinted>2024-04-11T06:54:00Z</cp:lastPrinted>
  <dcterms:modified xsi:type="dcterms:W3CDTF">2024-10-09T03:09:23Z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4EB2276C071B42C2BF2AFAB5F6DFBE37_11</vt:lpwstr>
  </property>
</Properties>
</file>