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泰安市泰山区农业农村局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202</w:t>
      </w:r>
      <w:r>
        <w:rPr>
          <w:rFonts w:hint="default" w:ascii="Times New Roman" w:hAnsi="Times New Roman" w:eastAsia="方正小标宋简体" w:cs="Times New Roman"/>
          <w:sz w:val="44"/>
          <w:szCs w:val="44"/>
          <w:lang w:val="en-US" w:eastAsia="zh-CN"/>
        </w:rPr>
        <w:t>2</w:t>
      </w:r>
      <w:r>
        <w:rPr>
          <w:rFonts w:hint="default" w:ascii="Times New Roman" w:hAnsi="Times New Roman" w:eastAsia="方正小标宋简体" w:cs="Times New Roman"/>
          <w:sz w:val="44"/>
          <w:szCs w:val="44"/>
        </w:rPr>
        <w:t>年政府信息公开工作年度报告</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p>
    <w:p>
      <w:pPr>
        <w:numPr>
          <w:ilvl w:val="0"/>
          <w:numId w:val="0"/>
        </w:numPr>
        <w:ind w:firstLine="640" w:firstLineChars="200"/>
        <w:rPr>
          <w:rFonts w:hint="default" w:ascii="Times New Roman" w:hAnsi="Times New Roman" w:eastAsia="仿宋_GB2312"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rPr>
        <w:t>本年度报告根据《中华人民共和国政府信息公开条例》和《国务院办公厅政府信息与政务公开办公室关于印发&lt;中华人民共和国政府信息公开工作年度报告格式&gt;的通知》（国办公开办函〔2021〕30号）相关要求编制，内容包括总体情况、主动公开政府信息情况、收到和处理政府信息公开申请情况、政府信息公开行政复议和行政诉讼情况、存在的主要问题及改进情况、其他需要报告的事项等六个部分。本年度报告中所列数据统计期限自2022年1月1日起至2022年12月31日止。</w:t>
      </w:r>
    </w:p>
    <w:p>
      <w:pPr>
        <w:numPr>
          <w:ilvl w:val="0"/>
          <w:numId w:val="0"/>
        </w:numPr>
        <w:ind w:firstLine="640" w:firstLineChars="200"/>
        <w:rPr>
          <w:rFonts w:hint="default" w:ascii="Times New Roman" w:hAnsi="Times New Roman" w:eastAsia="黑体" w:cs="Times New Roman"/>
          <w:i w:val="0"/>
          <w:iCs w:val="0"/>
          <w:caps w:val="0"/>
          <w:color w:val="000000"/>
          <w:spacing w:val="0"/>
          <w:sz w:val="32"/>
          <w:szCs w:val="32"/>
          <w:lang w:eastAsia="zh-CN"/>
        </w:rPr>
      </w:pPr>
      <w:r>
        <w:rPr>
          <w:rFonts w:hint="eastAsia" w:ascii="Times New Roman" w:hAnsi="Times New Roman" w:eastAsia="黑体" w:cs="Times New Roman"/>
          <w:i w:val="0"/>
          <w:iCs w:val="0"/>
          <w:caps w:val="0"/>
          <w:color w:val="000000"/>
          <w:spacing w:val="0"/>
          <w:sz w:val="32"/>
          <w:szCs w:val="32"/>
          <w:lang w:eastAsia="zh-CN"/>
        </w:rPr>
        <w:t>一、</w:t>
      </w:r>
      <w:r>
        <w:rPr>
          <w:rFonts w:hint="default" w:ascii="Times New Roman" w:hAnsi="Times New Roman" w:eastAsia="黑体" w:cs="Times New Roman"/>
          <w:i w:val="0"/>
          <w:iCs w:val="0"/>
          <w:caps w:val="0"/>
          <w:color w:val="000000"/>
          <w:spacing w:val="0"/>
          <w:sz w:val="32"/>
          <w:szCs w:val="32"/>
          <w:lang w:eastAsia="zh-CN"/>
        </w:rPr>
        <w:t>总体情况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i w:val="0"/>
          <w:iCs w:val="0"/>
          <w:caps w:val="0"/>
          <w:color w:val="000000"/>
          <w:spacing w:val="0"/>
          <w:sz w:val="32"/>
          <w:szCs w:val="32"/>
        </w:rPr>
        <w:t>202</w:t>
      </w:r>
      <w:r>
        <w:rPr>
          <w:rFonts w:hint="default" w:ascii="Times New Roman" w:hAnsi="Times New Roman" w:eastAsia="仿宋_GB2312" w:cs="Times New Roman"/>
          <w:i w:val="0"/>
          <w:iCs w:val="0"/>
          <w:caps w:val="0"/>
          <w:color w:val="000000"/>
          <w:spacing w:val="0"/>
          <w:sz w:val="32"/>
          <w:szCs w:val="32"/>
          <w:lang w:val="en-US" w:eastAsia="zh-CN"/>
        </w:rPr>
        <w:t>2</w:t>
      </w:r>
      <w:r>
        <w:rPr>
          <w:rFonts w:hint="default" w:ascii="Times New Roman" w:hAnsi="Times New Roman" w:eastAsia="仿宋_GB2312" w:cs="Times New Roman"/>
          <w:i w:val="0"/>
          <w:iCs w:val="0"/>
          <w:caps w:val="0"/>
          <w:color w:val="000000"/>
          <w:spacing w:val="0"/>
          <w:sz w:val="32"/>
          <w:szCs w:val="32"/>
        </w:rPr>
        <w:t>年以来，</w:t>
      </w:r>
      <w:r>
        <w:rPr>
          <w:rFonts w:hint="default" w:ascii="Times New Roman" w:hAnsi="Times New Roman" w:eastAsia="仿宋_GB2312" w:cs="Times New Roman"/>
          <w:i w:val="0"/>
          <w:iCs w:val="0"/>
          <w:caps w:val="0"/>
          <w:color w:val="000000"/>
          <w:spacing w:val="0"/>
          <w:sz w:val="32"/>
          <w:szCs w:val="32"/>
          <w:lang w:eastAsia="zh-CN"/>
        </w:rPr>
        <w:t>泰山区农业农村局</w:t>
      </w:r>
      <w:r>
        <w:rPr>
          <w:rFonts w:hint="default" w:ascii="Times New Roman" w:hAnsi="Times New Roman" w:eastAsia="仿宋_GB2312" w:cs="Times New Roman"/>
          <w:i w:val="0"/>
          <w:iCs w:val="0"/>
          <w:caps w:val="0"/>
          <w:color w:val="000000"/>
          <w:spacing w:val="0"/>
          <w:sz w:val="32"/>
          <w:szCs w:val="32"/>
        </w:rPr>
        <w:t>坚持以习近平新时代中国特色社会主义思想为指导，</w:t>
      </w:r>
      <w:r>
        <w:rPr>
          <w:rFonts w:hint="default" w:ascii="Times New Roman" w:hAnsi="Times New Roman" w:eastAsia="仿宋_GB2312" w:cs="Times New Roman"/>
          <w:i w:val="0"/>
          <w:iCs w:val="0"/>
          <w:caps w:val="0"/>
          <w:color w:val="000000"/>
          <w:spacing w:val="0"/>
          <w:sz w:val="32"/>
          <w:szCs w:val="32"/>
          <w:lang w:eastAsia="zh-CN"/>
        </w:rPr>
        <w:t>认真学习</w:t>
      </w:r>
      <w:r>
        <w:rPr>
          <w:rFonts w:hint="default" w:ascii="Times New Roman" w:hAnsi="Times New Roman" w:eastAsia="仿宋_GB2312" w:cs="Times New Roman"/>
          <w:i w:val="0"/>
          <w:iCs w:val="0"/>
          <w:caps w:val="0"/>
          <w:color w:val="000000"/>
          <w:spacing w:val="0"/>
          <w:sz w:val="32"/>
          <w:szCs w:val="32"/>
        </w:rPr>
        <w:t>贯彻执行《中华人民共和国政府信息公开条例》</w:t>
      </w:r>
      <w:r>
        <w:rPr>
          <w:rFonts w:hint="default" w:ascii="Times New Roman" w:hAnsi="Times New Roman" w:eastAsia="仿宋_GB2312" w:cs="Times New Roman"/>
          <w:i w:val="0"/>
          <w:iCs w:val="0"/>
          <w:caps w:val="0"/>
          <w:color w:val="000000"/>
          <w:spacing w:val="0"/>
          <w:sz w:val="32"/>
          <w:szCs w:val="32"/>
          <w:lang w:eastAsia="zh-CN"/>
        </w:rPr>
        <w:t>、</w:t>
      </w:r>
      <w:r>
        <w:rPr>
          <w:rFonts w:hint="default" w:ascii="Times New Roman" w:hAnsi="Times New Roman" w:eastAsia="仿宋_GB2312" w:cs="Times New Roman"/>
          <w:i w:val="0"/>
          <w:iCs w:val="0"/>
          <w:caps w:val="0"/>
          <w:color w:val="000000"/>
          <w:spacing w:val="0"/>
          <w:sz w:val="32"/>
          <w:szCs w:val="32"/>
        </w:rPr>
        <w:t>《山东省政府信息公开办法》</w:t>
      </w:r>
      <w:r>
        <w:rPr>
          <w:rFonts w:hint="default" w:ascii="Times New Roman" w:hAnsi="Times New Roman" w:eastAsia="仿宋_GB2312" w:cs="Times New Roman"/>
          <w:i w:val="0"/>
          <w:iCs w:val="0"/>
          <w:caps w:val="0"/>
          <w:color w:val="000000"/>
          <w:spacing w:val="0"/>
          <w:sz w:val="32"/>
          <w:szCs w:val="32"/>
          <w:lang w:eastAsia="zh-CN"/>
        </w:rPr>
        <w:t>等</w:t>
      </w:r>
      <w:r>
        <w:rPr>
          <w:rFonts w:hint="default" w:ascii="Times New Roman" w:hAnsi="Times New Roman" w:eastAsia="仿宋_GB2312" w:cs="Times New Roman"/>
          <w:i w:val="0"/>
          <w:iCs w:val="0"/>
          <w:caps w:val="0"/>
          <w:color w:val="000000"/>
          <w:spacing w:val="0"/>
          <w:sz w:val="32"/>
          <w:szCs w:val="32"/>
        </w:rPr>
        <w:t>一系列文件要求，扎实高效推进信息公开工作，及时、准确向社会主动公开农业农村领域工作进展情况，接受群众监督。</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i w:val="0"/>
          <w:iCs w:val="0"/>
          <w:caps w:val="0"/>
          <w:color w:val="000000"/>
          <w:spacing w:val="0"/>
          <w:sz w:val="32"/>
          <w:szCs w:val="32"/>
          <w:lang w:val="en-US" w:eastAsia="zh-CN"/>
        </w:rPr>
        <w:t>1、</w:t>
      </w:r>
      <w:r>
        <w:rPr>
          <w:rFonts w:hint="default" w:ascii="Times New Roman" w:hAnsi="Times New Roman" w:eastAsia="楷体_GB2312" w:cs="Times New Roman"/>
          <w:i w:val="0"/>
          <w:iCs w:val="0"/>
          <w:caps w:val="0"/>
          <w:color w:val="000000"/>
          <w:spacing w:val="0"/>
          <w:sz w:val="32"/>
          <w:szCs w:val="32"/>
        </w:rPr>
        <w:t>主动公开</w:t>
      </w:r>
      <w:r>
        <w:rPr>
          <w:rFonts w:hint="default" w:ascii="Times New Roman" w:hAnsi="Times New Roman" w:eastAsia="楷体_GB2312" w:cs="Times New Roman"/>
          <w:i w:val="0"/>
          <w:iCs w:val="0"/>
          <w:caps w:val="0"/>
          <w:color w:val="000000"/>
          <w:spacing w:val="0"/>
          <w:sz w:val="32"/>
          <w:szCs w:val="32"/>
          <w:lang w:eastAsia="zh-CN"/>
        </w:rPr>
        <w:t>。</w:t>
      </w:r>
      <w:r>
        <w:rPr>
          <w:rFonts w:hint="default" w:ascii="Times New Roman" w:hAnsi="Times New Roman" w:eastAsia="仿宋_GB2312" w:cs="Times New Roman"/>
          <w:i w:val="0"/>
          <w:iCs w:val="0"/>
          <w:caps w:val="0"/>
          <w:color w:val="000000"/>
          <w:spacing w:val="0"/>
          <w:sz w:val="32"/>
          <w:szCs w:val="32"/>
          <w:lang w:eastAsia="zh-CN"/>
        </w:rPr>
        <w:t>局党组高度重视政府信息公开工作，成立了由局长任组长、分管局长任副组长、各科室负责人为成员的信息公开工作领导小组，领导小组下设办公室，并明确专人负责具体落实信息公开的日常工作。202</w:t>
      </w:r>
      <w:r>
        <w:rPr>
          <w:rFonts w:hint="default" w:ascii="Times New Roman" w:hAnsi="Times New Roman" w:eastAsia="仿宋_GB2312" w:cs="Times New Roman"/>
          <w:i w:val="0"/>
          <w:iCs w:val="0"/>
          <w:caps w:val="0"/>
          <w:color w:val="000000"/>
          <w:spacing w:val="0"/>
          <w:sz w:val="32"/>
          <w:szCs w:val="32"/>
          <w:lang w:val="en-US" w:eastAsia="zh-CN"/>
        </w:rPr>
        <w:t>2</w:t>
      </w:r>
      <w:r>
        <w:rPr>
          <w:rFonts w:hint="default" w:ascii="Times New Roman" w:hAnsi="Times New Roman" w:eastAsia="仿宋_GB2312" w:cs="Times New Roman"/>
          <w:i w:val="0"/>
          <w:iCs w:val="0"/>
          <w:caps w:val="0"/>
          <w:color w:val="000000"/>
          <w:spacing w:val="0"/>
          <w:sz w:val="32"/>
          <w:szCs w:val="32"/>
        </w:rPr>
        <w:t>年</w:t>
      </w:r>
      <w:r>
        <w:rPr>
          <w:rFonts w:hint="default" w:ascii="Times New Roman" w:hAnsi="Times New Roman" w:eastAsia="仿宋_GB2312" w:cs="Times New Roman"/>
          <w:i w:val="0"/>
          <w:iCs w:val="0"/>
          <w:caps w:val="0"/>
          <w:color w:val="000000"/>
          <w:spacing w:val="0"/>
          <w:sz w:val="32"/>
          <w:szCs w:val="32"/>
          <w:lang w:eastAsia="zh-CN"/>
        </w:rPr>
        <w:t>，按照《中华人民共和国政府信息公开条例》相关规定要求，泰山区农业农村局在区政府网站主动公开各类信息</w:t>
      </w:r>
      <w:r>
        <w:rPr>
          <w:rFonts w:hint="default" w:ascii="Times New Roman" w:hAnsi="Times New Roman" w:eastAsia="仿宋_GB2312" w:cs="Times New Roman"/>
          <w:i w:val="0"/>
          <w:iCs w:val="0"/>
          <w:caps w:val="0"/>
          <w:color w:val="000000"/>
          <w:spacing w:val="0"/>
          <w:sz w:val="32"/>
          <w:szCs w:val="32"/>
          <w:lang w:val="en-US" w:eastAsia="zh-CN"/>
        </w:rPr>
        <w:t>100余</w:t>
      </w:r>
      <w:r>
        <w:rPr>
          <w:rFonts w:hint="default" w:ascii="Times New Roman" w:hAnsi="Times New Roman" w:eastAsia="仿宋_GB2312" w:cs="Times New Roman"/>
          <w:i w:val="0"/>
          <w:iCs w:val="0"/>
          <w:caps w:val="0"/>
          <w:color w:val="000000"/>
          <w:spacing w:val="0"/>
          <w:sz w:val="32"/>
          <w:szCs w:val="32"/>
          <w:lang w:eastAsia="zh-CN"/>
        </w:rPr>
        <w:t>条，涉及机构设置、财政预决算、政府工作报告落实情况、行政执法公示、建议提案办理、乡村振兴和涉农领域补贴等专题，做到了应公开尽公开，无一遗漏。</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i w:val="0"/>
          <w:iCs w:val="0"/>
          <w:caps w:val="0"/>
          <w:color w:val="000000"/>
          <w:spacing w:val="0"/>
          <w:sz w:val="32"/>
          <w:szCs w:val="32"/>
          <w:lang w:val="en-US" w:eastAsia="zh-CN"/>
        </w:rPr>
        <w:t>2</w:t>
      </w:r>
      <w:r>
        <w:rPr>
          <w:rFonts w:hint="eastAsia" w:ascii="Times New Roman" w:hAnsi="Times New Roman" w:eastAsia="楷体_GB2312" w:cs="Times New Roman"/>
          <w:i w:val="0"/>
          <w:iCs w:val="0"/>
          <w:caps w:val="0"/>
          <w:color w:val="000000"/>
          <w:spacing w:val="0"/>
          <w:sz w:val="32"/>
          <w:szCs w:val="32"/>
          <w:lang w:val="en-US" w:eastAsia="zh-CN"/>
        </w:rPr>
        <w:t>、</w:t>
      </w:r>
      <w:r>
        <w:rPr>
          <w:rFonts w:hint="default" w:ascii="Times New Roman" w:hAnsi="Times New Roman" w:eastAsia="楷体_GB2312" w:cs="Times New Roman"/>
          <w:i w:val="0"/>
          <w:iCs w:val="0"/>
          <w:caps w:val="0"/>
          <w:color w:val="000000"/>
          <w:spacing w:val="0"/>
          <w:sz w:val="32"/>
          <w:szCs w:val="32"/>
        </w:rPr>
        <w:t>依申请公开。</w:t>
      </w:r>
      <w:r>
        <w:rPr>
          <w:rFonts w:hint="default" w:ascii="Times New Roman" w:hAnsi="Times New Roman" w:eastAsia="仿宋_GB2312" w:cs="Times New Roman"/>
          <w:i w:val="0"/>
          <w:iCs w:val="0"/>
          <w:caps w:val="0"/>
          <w:color w:val="000000"/>
          <w:spacing w:val="0"/>
          <w:sz w:val="32"/>
          <w:szCs w:val="32"/>
          <w:lang w:eastAsia="zh-CN"/>
        </w:rPr>
        <w:t>为积极稳妥地做好依申请公开政府信息工作，有效保障人民群众的知情权、监督权，我局按照规章要</w:t>
      </w:r>
      <w:r>
        <w:rPr>
          <w:rFonts w:hint="default" w:ascii="Times New Roman" w:hAnsi="Times New Roman" w:eastAsia="仿宋_GB2312" w:cs="Times New Roman"/>
          <w:i w:val="0"/>
          <w:iCs w:val="0"/>
          <w:caps w:val="0"/>
          <w:color w:val="000000"/>
          <w:spacing w:val="0"/>
          <w:sz w:val="32"/>
          <w:szCs w:val="32"/>
        </w:rPr>
        <w:t>求制定了依申请公开工作流程，并适时修订了本单位政府信息公开指南。202</w:t>
      </w:r>
      <w:r>
        <w:rPr>
          <w:rFonts w:hint="default" w:ascii="Times New Roman" w:hAnsi="Times New Roman" w:eastAsia="仿宋_GB2312" w:cs="Times New Roman"/>
          <w:i w:val="0"/>
          <w:iCs w:val="0"/>
          <w:caps w:val="0"/>
          <w:color w:val="000000"/>
          <w:spacing w:val="0"/>
          <w:sz w:val="32"/>
          <w:szCs w:val="32"/>
          <w:lang w:val="en-US" w:eastAsia="zh-CN"/>
        </w:rPr>
        <w:t>2</w:t>
      </w:r>
      <w:r>
        <w:rPr>
          <w:rFonts w:hint="default" w:ascii="Times New Roman" w:hAnsi="Times New Roman" w:eastAsia="仿宋_GB2312" w:cs="Times New Roman"/>
          <w:i w:val="0"/>
          <w:iCs w:val="0"/>
          <w:caps w:val="0"/>
          <w:color w:val="000000"/>
          <w:spacing w:val="0"/>
          <w:sz w:val="32"/>
          <w:szCs w:val="32"/>
        </w:rPr>
        <w:t>年，我局共收到依申请公开办理件</w:t>
      </w:r>
      <w:r>
        <w:rPr>
          <w:rFonts w:hint="default" w:ascii="Times New Roman" w:hAnsi="Times New Roman" w:eastAsia="仿宋_GB2312" w:cs="Times New Roman"/>
          <w:i w:val="0"/>
          <w:iCs w:val="0"/>
          <w:caps w:val="0"/>
          <w:color w:val="000000"/>
          <w:spacing w:val="0"/>
          <w:sz w:val="32"/>
          <w:szCs w:val="32"/>
          <w:lang w:val="en-US" w:eastAsia="zh-CN"/>
        </w:rPr>
        <w:t>1</w:t>
      </w:r>
      <w:r>
        <w:rPr>
          <w:rFonts w:hint="default" w:ascii="Times New Roman" w:hAnsi="Times New Roman" w:eastAsia="仿宋_GB2312" w:cs="Times New Roman"/>
          <w:i w:val="0"/>
          <w:iCs w:val="0"/>
          <w:caps w:val="0"/>
          <w:color w:val="000000"/>
          <w:spacing w:val="0"/>
          <w:sz w:val="32"/>
          <w:szCs w:val="32"/>
        </w:rPr>
        <w:t>件</w:t>
      </w:r>
      <w:r>
        <w:rPr>
          <w:rFonts w:hint="default" w:ascii="Times New Roman" w:hAnsi="Times New Roman" w:eastAsia="仿宋_GB2312" w:cs="Times New Roman"/>
          <w:i w:val="0"/>
          <w:iCs w:val="0"/>
          <w:caps w:val="0"/>
          <w:color w:val="000000"/>
          <w:spacing w:val="0"/>
          <w:sz w:val="32"/>
          <w:szCs w:val="32"/>
          <w:lang w:eastAsia="zh-CN"/>
        </w:rPr>
        <w:t>，</w:t>
      </w:r>
      <w:r>
        <w:rPr>
          <w:rFonts w:hint="eastAsia" w:ascii="Times New Roman" w:hAnsi="Times New Roman" w:eastAsia="仿宋_GB2312" w:cs="Times New Roman"/>
          <w:i w:val="0"/>
          <w:iCs w:val="0"/>
          <w:caps w:val="0"/>
          <w:color w:val="000000"/>
          <w:spacing w:val="0"/>
          <w:sz w:val="32"/>
          <w:szCs w:val="32"/>
          <w:lang w:eastAsia="zh-CN"/>
        </w:rPr>
        <w:t>已</w:t>
      </w:r>
      <w:r>
        <w:rPr>
          <w:rFonts w:hint="default" w:ascii="Times New Roman" w:hAnsi="Times New Roman" w:eastAsia="仿宋_GB2312" w:cs="Times New Roman"/>
          <w:i w:val="0"/>
          <w:iCs w:val="0"/>
          <w:caps w:val="0"/>
          <w:color w:val="000000"/>
          <w:spacing w:val="0"/>
          <w:sz w:val="32"/>
          <w:szCs w:val="32"/>
          <w:lang w:eastAsia="zh-CN"/>
        </w:rPr>
        <w:t>按照依申请公开要求</w:t>
      </w:r>
      <w:r>
        <w:rPr>
          <w:rFonts w:hint="eastAsia" w:ascii="Times New Roman" w:hAnsi="Times New Roman" w:eastAsia="仿宋_GB2312" w:cs="Times New Roman"/>
          <w:i w:val="0"/>
          <w:iCs w:val="0"/>
          <w:caps w:val="0"/>
          <w:color w:val="000000"/>
          <w:spacing w:val="0"/>
          <w:sz w:val="32"/>
          <w:szCs w:val="32"/>
          <w:lang w:eastAsia="zh-CN"/>
        </w:rPr>
        <w:t>按期</w:t>
      </w:r>
      <w:r>
        <w:rPr>
          <w:rFonts w:hint="default" w:ascii="Times New Roman" w:hAnsi="Times New Roman" w:eastAsia="仿宋_GB2312" w:cs="Times New Roman"/>
          <w:i w:val="0"/>
          <w:iCs w:val="0"/>
          <w:caps w:val="0"/>
          <w:color w:val="000000"/>
          <w:spacing w:val="0"/>
          <w:sz w:val="32"/>
          <w:szCs w:val="32"/>
          <w:lang w:eastAsia="zh-CN"/>
        </w:rPr>
        <w:t>给与申请人答复</w:t>
      </w:r>
      <w:r>
        <w:rPr>
          <w:rFonts w:hint="default" w:ascii="Times New Roman" w:hAnsi="Times New Roman" w:eastAsia="仿宋_GB2312" w:cs="Times New Roman"/>
          <w:i w:val="0"/>
          <w:iCs w:val="0"/>
          <w:caps w:val="0"/>
          <w:color w:val="000000"/>
          <w:spacing w:val="0"/>
          <w:sz w:val="32"/>
          <w:szCs w:val="32"/>
        </w:rPr>
        <w:t>。</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i w:val="0"/>
          <w:iCs w:val="0"/>
          <w:caps w:val="0"/>
          <w:color w:val="000000"/>
          <w:spacing w:val="0"/>
          <w:sz w:val="32"/>
          <w:szCs w:val="32"/>
          <w:lang w:eastAsia="zh-CN"/>
        </w:rPr>
      </w:pPr>
      <w:r>
        <w:rPr>
          <w:rFonts w:hint="default" w:ascii="Times New Roman" w:hAnsi="Times New Roman" w:eastAsia="楷体_GB2312" w:cs="Times New Roman"/>
          <w:i w:val="0"/>
          <w:iCs w:val="0"/>
          <w:caps w:val="0"/>
          <w:color w:val="000000"/>
          <w:spacing w:val="0"/>
          <w:sz w:val="32"/>
          <w:szCs w:val="32"/>
          <w:lang w:val="en-US" w:eastAsia="zh-CN"/>
        </w:rPr>
        <w:t>3</w:t>
      </w:r>
      <w:r>
        <w:rPr>
          <w:rFonts w:hint="eastAsia" w:ascii="Times New Roman" w:hAnsi="Times New Roman" w:eastAsia="楷体_GB2312" w:cs="Times New Roman"/>
          <w:i w:val="0"/>
          <w:iCs w:val="0"/>
          <w:caps w:val="0"/>
          <w:color w:val="000000"/>
          <w:spacing w:val="0"/>
          <w:sz w:val="32"/>
          <w:szCs w:val="32"/>
          <w:lang w:val="en-US" w:eastAsia="zh-CN"/>
        </w:rPr>
        <w:t>、</w:t>
      </w:r>
      <w:r>
        <w:rPr>
          <w:rFonts w:hint="default" w:ascii="Times New Roman" w:hAnsi="Times New Roman" w:eastAsia="楷体_GB2312" w:cs="Times New Roman"/>
          <w:i w:val="0"/>
          <w:iCs w:val="0"/>
          <w:caps w:val="0"/>
          <w:color w:val="000000"/>
          <w:spacing w:val="0"/>
          <w:sz w:val="32"/>
          <w:szCs w:val="32"/>
        </w:rPr>
        <w:t>政府信息管理。</w:t>
      </w:r>
      <w:r>
        <w:rPr>
          <w:rFonts w:hint="eastAsia" w:ascii="Times New Roman" w:hAnsi="Times New Roman" w:eastAsia="楷体_GB2312" w:cs="Times New Roman"/>
          <w:i w:val="0"/>
          <w:iCs w:val="0"/>
          <w:caps w:val="0"/>
          <w:color w:val="000000"/>
          <w:spacing w:val="0"/>
          <w:sz w:val="32"/>
          <w:szCs w:val="32"/>
          <w:lang w:eastAsia="zh-CN"/>
        </w:rPr>
        <w:t>我局</w:t>
      </w:r>
      <w:r>
        <w:rPr>
          <w:rFonts w:hint="default" w:ascii="Times New Roman" w:hAnsi="Times New Roman" w:eastAsia="仿宋_GB2312" w:cs="Times New Roman"/>
          <w:i w:val="0"/>
          <w:iCs w:val="0"/>
          <w:caps w:val="0"/>
          <w:color w:val="000000"/>
          <w:spacing w:val="0"/>
          <w:sz w:val="32"/>
          <w:szCs w:val="32"/>
          <w:lang w:eastAsia="zh-CN"/>
        </w:rPr>
        <w:t>建立</w:t>
      </w:r>
      <w:r>
        <w:rPr>
          <w:rFonts w:hint="eastAsia" w:ascii="Times New Roman" w:hAnsi="Times New Roman" w:eastAsia="仿宋_GB2312" w:cs="Times New Roman"/>
          <w:i w:val="0"/>
          <w:iCs w:val="0"/>
          <w:caps w:val="0"/>
          <w:color w:val="000000"/>
          <w:spacing w:val="0"/>
          <w:sz w:val="32"/>
          <w:szCs w:val="32"/>
          <w:lang w:eastAsia="zh-CN"/>
        </w:rPr>
        <w:t>了</w:t>
      </w:r>
      <w:r>
        <w:rPr>
          <w:rFonts w:hint="default" w:ascii="Times New Roman" w:hAnsi="Times New Roman" w:eastAsia="仿宋_GB2312" w:cs="Times New Roman"/>
          <w:i w:val="0"/>
          <w:iCs w:val="0"/>
          <w:caps w:val="0"/>
          <w:color w:val="000000"/>
          <w:spacing w:val="0"/>
          <w:sz w:val="32"/>
          <w:szCs w:val="32"/>
          <w:lang w:eastAsia="zh-CN"/>
        </w:rPr>
        <w:t>政府信息公开工作全流程管理机制，</w:t>
      </w:r>
      <w:r>
        <w:rPr>
          <w:rFonts w:hint="eastAsia" w:ascii="Times New Roman" w:hAnsi="Times New Roman" w:eastAsia="仿宋_GB2312" w:cs="Times New Roman"/>
          <w:i w:val="0"/>
          <w:iCs w:val="0"/>
          <w:caps w:val="0"/>
          <w:color w:val="000000"/>
          <w:spacing w:val="0"/>
          <w:sz w:val="32"/>
          <w:szCs w:val="32"/>
          <w:lang w:eastAsia="zh-CN"/>
        </w:rPr>
        <w:t>政务公开信息均由</w:t>
      </w:r>
      <w:r>
        <w:rPr>
          <w:rFonts w:hint="default" w:ascii="Times New Roman" w:hAnsi="Times New Roman" w:eastAsia="仿宋_GB2312" w:cs="Times New Roman"/>
          <w:i w:val="0"/>
          <w:iCs w:val="0"/>
          <w:caps w:val="0"/>
          <w:color w:val="000000"/>
          <w:spacing w:val="0"/>
          <w:sz w:val="32"/>
          <w:szCs w:val="32"/>
          <w:lang w:eastAsia="zh-CN"/>
        </w:rPr>
        <w:t>局分管</w:t>
      </w:r>
      <w:r>
        <w:rPr>
          <w:rFonts w:hint="eastAsia" w:ascii="Times New Roman" w:hAnsi="Times New Roman" w:eastAsia="仿宋_GB2312" w:cs="Times New Roman"/>
          <w:i w:val="0"/>
          <w:iCs w:val="0"/>
          <w:caps w:val="0"/>
          <w:color w:val="000000"/>
          <w:spacing w:val="0"/>
          <w:sz w:val="32"/>
          <w:szCs w:val="32"/>
          <w:lang w:eastAsia="zh-CN"/>
        </w:rPr>
        <w:t>领导</w:t>
      </w:r>
      <w:r>
        <w:rPr>
          <w:rFonts w:hint="default" w:ascii="Times New Roman" w:hAnsi="Times New Roman" w:eastAsia="仿宋_GB2312" w:cs="Times New Roman"/>
          <w:i w:val="0"/>
          <w:iCs w:val="0"/>
          <w:caps w:val="0"/>
          <w:color w:val="000000"/>
          <w:spacing w:val="0"/>
          <w:sz w:val="32"/>
          <w:szCs w:val="32"/>
          <w:lang w:eastAsia="zh-CN"/>
        </w:rPr>
        <w:t>把关审签，最大限度保证公开内容经得起审查。按照工作群通知要求对部门信息进行梳理，进一步明确公开内容，公开时限，公开方式，公开形式和责任科室。认真落实《中华人民共和国保守国家秘密法》、《中华人民共和国政府信息公开条例》等规定，按照“先审查、后公开”的原则，严格做好政府信息公开保密审查，确保公开信息不涉密、涉密信息不公开。</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i w:val="0"/>
          <w:iCs w:val="0"/>
          <w:caps w:val="0"/>
          <w:color w:val="000000"/>
          <w:spacing w:val="0"/>
          <w:sz w:val="32"/>
          <w:szCs w:val="32"/>
        </w:rPr>
        <w:t>4、政府信息公开平台建设。</w:t>
      </w:r>
      <w:r>
        <w:rPr>
          <w:rFonts w:hint="eastAsia" w:ascii="Times New Roman" w:hAnsi="Times New Roman" w:eastAsia="仿宋_GB2312" w:cs="Times New Roman"/>
          <w:i w:val="0"/>
          <w:iCs w:val="0"/>
          <w:caps w:val="0"/>
          <w:color w:val="000000"/>
          <w:spacing w:val="0"/>
          <w:sz w:val="32"/>
          <w:szCs w:val="32"/>
          <w:lang w:eastAsia="zh-CN"/>
        </w:rPr>
        <w:t>泰山区农业农村局依托泰山区人民政府网站</w:t>
      </w:r>
      <w:r>
        <w:rPr>
          <w:rFonts w:hint="default" w:ascii="Times New Roman" w:hAnsi="Times New Roman" w:eastAsia="仿宋_GB2312" w:cs="Times New Roman"/>
          <w:i w:val="0"/>
          <w:iCs w:val="0"/>
          <w:caps w:val="0"/>
          <w:color w:val="000000"/>
          <w:spacing w:val="0"/>
          <w:sz w:val="32"/>
          <w:szCs w:val="32"/>
          <w:lang w:eastAsia="zh-CN"/>
        </w:rPr>
        <w:t>（网址</w:t>
      </w:r>
      <w:r>
        <w:rPr>
          <w:rFonts w:hint="eastAsia" w:ascii="Times New Roman" w:hAnsi="Times New Roman" w:eastAsia="仿宋_GB2312" w:cs="Times New Roman"/>
          <w:i w:val="0"/>
          <w:iCs w:val="0"/>
          <w:caps w:val="0"/>
          <w:color w:val="000000"/>
          <w:spacing w:val="0"/>
          <w:sz w:val="32"/>
          <w:szCs w:val="32"/>
          <w:lang w:eastAsia="zh-CN"/>
        </w:rPr>
        <w:t>：</w:t>
      </w:r>
      <w:r>
        <w:rPr>
          <w:rFonts w:hint="default" w:ascii="Times New Roman" w:hAnsi="Times New Roman" w:eastAsia="仿宋_GB2312" w:cs="Times New Roman"/>
          <w:i w:val="0"/>
          <w:iCs w:val="0"/>
          <w:caps w:val="0"/>
          <w:color w:val="000000"/>
          <w:spacing w:val="0"/>
          <w:sz w:val="32"/>
          <w:szCs w:val="32"/>
          <w:lang w:eastAsia="zh-CN"/>
        </w:rPr>
        <w:fldChar w:fldCharType="begin"/>
      </w:r>
      <w:r>
        <w:rPr>
          <w:rFonts w:hint="default" w:ascii="Times New Roman" w:hAnsi="Times New Roman" w:eastAsia="仿宋_GB2312" w:cs="Times New Roman"/>
          <w:i w:val="0"/>
          <w:iCs w:val="0"/>
          <w:caps w:val="0"/>
          <w:color w:val="000000"/>
          <w:spacing w:val="0"/>
          <w:sz w:val="32"/>
          <w:szCs w:val="32"/>
          <w:lang w:eastAsia="zh-CN"/>
        </w:rPr>
        <w:instrText xml:space="preserve"> HYPERLINK "http://www.sdtaishan.gov.cn/col/col176037/index.html?vc_xxgkarea=11370902494290916J" </w:instrText>
      </w:r>
      <w:r>
        <w:rPr>
          <w:rFonts w:hint="default" w:ascii="Times New Roman" w:hAnsi="Times New Roman" w:eastAsia="仿宋_GB2312" w:cs="Times New Roman"/>
          <w:i w:val="0"/>
          <w:iCs w:val="0"/>
          <w:caps w:val="0"/>
          <w:color w:val="000000"/>
          <w:spacing w:val="0"/>
          <w:sz w:val="32"/>
          <w:szCs w:val="32"/>
          <w:lang w:eastAsia="zh-CN"/>
        </w:rPr>
        <w:fldChar w:fldCharType="separate"/>
      </w:r>
      <w:r>
        <w:rPr>
          <w:rFonts w:hint="default" w:ascii="Times New Roman" w:hAnsi="Times New Roman" w:eastAsia="仿宋_GB2312" w:cs="Times New Roman"/>
          <w:i w:val="0"/>
          <w:iCs w:val="0"/>
          <w:caps w:val="0"/>
          <w:color w:val="000000"/>
          <w:spacing w:val="0"/>
          <w:sz w:val="32"/>
          <w:szCs w:val="32"/>
          <w:lang w:eastAsia="zh-CN"/>
        </w:rPr>
        <w:t>http://www.sdtaishan.gov.cn</w:t>
      </w:r>
      <w:r>
        <w:rPr>
          <w:rFonts w:hint="default" w:ascii="Times New Roman" w:hAnsi="Times New Roman" w:eastAsia="仿宋_GB2312" w:cs="Times New Roman"/>
          <w:i w:val="0"/>
          <w:iCs w:val="0"/>
          <w:caps w:val="0"/>
          <w:color w:val="000000"/>
          <w:spacing w:val="0"/>
          <w:sz w:val="32"/>
          <w:szCs w:val="32"/>
          <w:lang w:eastAsia="zh-CN"/>
        </w:rPr>
        <w:fldChar w:fldCharType="end"/>
      </w:r>
      <w:r>
        <w:rPr>
          <w:rFonts w:hint="default" w:ascii="Times New Roman" w:hAnsi="Times New Roman" w:eastAsia="仿宋_GB2312" w:cs="Times New Roman"/>
          <w:i w:val="0"/>
          <w:iCs w:val="0"/>
          <w:caps w:val="0"/>
          <w:color w:val="000000"/>
          <w:spacing w:val="0"/>
          <w:sz w:val="32"/>
          <w:szCs w:val="32"/>
          <w:lang w:eastAsia="zh-CN"/>
        </w:rPr>
        <w:t>）</w:t>
      </w:r>
      <w:r>
        <w:rPr>
          <w:rFonts w:hint="eastAsia" w:ascii="Times New Roman" w:hAnsi="Times New Roman" w:eastAsia="仿宋_GB2312" w:cs="Times New Roman"/>
          <w:i w:val="0"/>
          <w:iCs w:val="0"/>
          <w:caps w:val="0"/>
          <w:color w:val="000000"/>
          <w:spacing w:val="0"/>
          <w:sz w:val="32"/>
          <w:szCs w:val="32"/>
          <w:lang w:eastAsia="zh-CN"/>
        </w:rPr>
        <w:t>、“和美泰山”</w:t>
      </w:r>
      <w:r>
        <w:rPr>
          <w:rFonts w:hint="default" w:ascii="Times New Roman" w:hAnsi="Times New Roman" w:eastAsia="仿宋_GB2312" w:cs="Times New Roman"/>
          <w:i w:val="0"/>
          <w:iCs w:val="0"/>
          <w:caps w:val="0"/>
          <w:color w:val="000000"/>
          <w:spacing w:val="0"/>
          <w:sz w:val="32"/>
          <w:szCs w:val="32"/>
          <w:lang w:eastAsia="zh-CN"/>
        </w:rPr>
        <w:t>（微信号：tsqxwzx）</w:t>
      </w:r>
      <w:r>
        <w:rPr>
          <w:rFonts w:hint="eastAsia" w:ascii="Times New Roman" w:hAnsi="Times New Roman" w:eastAsia="仿宋_GB2312" w:cs="Times New Roman"/>
          <w:i w:val="0"/>
          <w:iCs w:val="0"/>
          <w:caps w:val="0"/>
          <w:color w:val="000000"/>
          <w:spacing w:val="0"/>
          <w:sz w:val="32"/>
          <w:szCs w:val="32"/>
          <w:lang w:eastAsia="zh-CN"/>
        </w:rPr>
        <w:t>、“</w:t>
      </w:r>
      <w:r>
        <w:rPr>
          <w:rFonts w:hint="default" w:ascii="Times New Roman" w:hAnsi="Times New Roman" w:eastAsia="仿宋_GB2312" w:cs="Times New Roman"/>
          <w:i w:val="0"/>
          <w:iCs w:val="0"/>
          <w:caps w:val="0"/>
          <w:color w:val="000000"/>
          <w:spacing w:val="0"/>
          <w:sz w:val="32"/>
          <w:szCs w:val="32"/>
          <w:lang w:eastAsia="zh-CN"/>
        </w:rPr>
        <w:t>掌上泰山区APP</w:t>
      </w:r>
      <w:r>
        <w:rPr>
          <w:rFonts w:hint="eastAsia" w:ascii="Times New Roman" w:hAnsi="Times New Roman" w:eastAsia="仿宋_GB2312" w:cs="Times New Roman"/>
          <w:i w:val="0"/>
          <w:iCs w:val="0"/>
          <w:caps w:val="0"/>
          <w:color w:val="000000"/>
          <w:spacing w:val="0"/>
          <w:sz w:val="32"/>
          <w:szCs w:val="32"/>
          <w:lang w:eastAsia="zh-CN"/>
        </w:rPr>
        <w:t>”</w:t>
      </w:r>
      <w:r>
        <w:rPr>
          <w:rFonts w:hint="default" w:ascii="Times New Roman" w:hAnsi="Times New Roman" w:eastAsia="仿宋_GB2312" w:cs="Times New Roman"/>
          <w:i w:val="0"/>
          <w:iCs w:val="0"/>
          <w:caps w:val="0"/>
          <w:color w:val="000000"/>
          <w:spacing w:val="0"/>
          <w:sz w:val="32"/>
          <w:szCs w:val="32"/>
          <w:lang w:eastAsia="zh-CN"/>
        </w:rPr>
        <w:t>（手机应用搜</w:t>
      </w:r>
      <w:r>
        <w:rPr>
          <w:rFonts w:hint="default" w:ascii="Times New Roman" w:hAnsi="Times New Roman" w:eastAsia="仿宋_GB2312" w:cs="Times New Roman"/>
          <w:i w:val="0"/>
          <w:iCs w:val="0"/>
          <w:caps w:val="0"/>
          <w:color w:val="000000"/>
          <w:spacing w:val="0"/>
          <w:sz w:val="32"/>
          <w:szCs w:val="32"/>
        </w:rPr>
        <w:t>索下载）等微信及其他互联网政务新媒体阅览，同时，在区政务服务大厅（地址：泰安市泰山区迎春路18号；电话：0538-8206433；上班时间：周一至周五8：30-11：40，14：00-17：30）设置现场查阅点。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i w:val="0"/>
          <w:iCs w:val="0"/>
          <w:caps w:val="0"/>
          <w:color w:val="000000"/>
          <w:spacing w:val="0"/>
          <w:sz w:val="32"/>
          <w:szCs w:val="32"/>
        </w:rPr>
        <w:t>5、监督保障。</w:t>
      </w:r>
      <w:r>
        <w:rPr>
          <w:rFonts w:hint="default" w:ascii="Times New Roman" w:hAnsi="Times New Roman" w:eastAsia="仿宋_GB2312" w:cs="Times New Roman"/>
          <w:i w:val="0"/>
          <w:iCs w:val="0"/>
          <w:caps w:val="0"/>
          <w:color w:val="000000"/>
          <w:spacing w:val="0"/>
          <w:sz w:val="32"/>
          <w:szCs w:val="32"/>
        </w:rPr>
        <w:t>严格按照《中华人民共和国政府信息公开条例》开展政府信息公开工作，确保流程规范、合规。按照省市区相关政务公开规定，将政府信息公开工作完成情况作为对机关科室年度绩效考核的重要指标。同时，强化日常监督，对局机关各科室及所属事业单位工作开展情况进行不定期抽查，发现问题，立即整改，确保政府信息公开工作落到实处。202</w:t>
      </w:r>
      <w:r>
        <w:rPr>
          <w:rFonts w:hint="eastAsia" w:ascii="Times New Roman" w:hAnsi="Times New Roman" w:eastAsia="仿宋_GB2312" w:cs="Times New Roman"/>
          <w:i w:val="0"/>
          <w:iCs w:val="0"/>
          <w:caps w:val="0"/>
          <w:color w:val="000000"/>
          <w:spacing w:val="0"/>
          <w:sz w:val="32"/>
          <w:szCs w:val="32"/>
          <w:lang w:val="en-US" w:eastAsia="zh-CN"/>
        </w:rPr>
        <w:t>2</w:t>
      </w:r>
      <w:r>
        <w:rPr>
          <w:rFonts w:hint="default" w:ascii="Times New Roman" w:hAnsi="Times New Roman" w:eastAsia="仿宋_GB2312" w:cs="Times New Roman"/>
          <w:i w:val="0"/>
          <w:iCs w:val="0"/>
          <w:caps w:val="0"/>
          <w:color w:val="000000"/>
          <w:spacing w:val="0"/>
          <w:sz w:val="32"/>
          <w:szCs w:val="32"/>
        </w:rPr>
        <w:t>年，未发生因不履行政务公开义务而发生的责任追究情况。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default" w:ascii="Times New Roman" w:hAnsi="Times New Roman" w:eastAsia="黑体" w:cs="Times New Roman"/>
          <w:i w:val="0"/>
          <w:iCs w:val="0"/>
          <w:caps w:val="0"/>
          <w:color w:val="000000"/>
          <w:spacing w:val="0"/>
          <w:sz w:val="32"/>
          <w:szCs w:val="32"/>
        </w:rPr>
      </w:pPr>
      <w:r>
        <w:rPr>
          <w:rFonts w:hint="default" w:ascii="Times New Roman" w:hAnsi="Times New Roman" w:eastAsia="黑体" w:cs="Times New Roman"/>
          <w:i w:val="0"/>
          <w:iCs w:val="0"/>
          <w:caps w:val="0"/>
          <w:color w:val="000000"/>
          <w:spacing w:val="0"/>
          <w:sz w:val="32"/>
          <w:szCs w:val="32"/>
        </w:rPr>
        <w:t>二、主动公开政府信息情况</w:t>
      </w:r>
    </w:p>
    <w:tbl>
      <w:tblPr>
        <w:tblStyle w:val="3"/>
        <w:tblW w:w="8824" w:type="dxa"/>
        <w:tblInd w:w="0" w:type="dxa"/>
        <w:tblLayout w:type="fixed"/>
        <w:tblCellMar>
          <w:top w:w="0" w:type="dxa"/>
          <w:left w:w="108" w:type="dxa"/>
          <w:bottom w:w="0" w:type="dxa"/>
          <w:right w:w="108" w:type="dxa"/>
        </w:tblCellMar>
      </w:tblPr>
      <w:tblGrid>
        <w:gridCol w:w="2206"/>
        <w:gridCol w:w="2206"/>
        <w:gridCol w:w="2206"/>
        <w:gridCol w:w="2206"/>
      </w:tblGrid>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第二十条第（一）项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信息内容</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本年制发件数</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本年废止件数</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现行有效件数</w:t>
            </w:r>
          </w:p>
        </w:tc>
      </w:tr>
      <w:tr>
        <w:tblPrEx>
          <w:tblCellMar>
            <w:top w:w="0" w:type="dxa"/>
            <w:left w:w="108" w:type="dxa"/>
            <w:bottom w:w="0" w:type="dxa"/>
            <w:right w:w="108" w:type="dxa"/>
          </w:tblCellMar>
        </w:tblPrEx>
        <w:trPr>
          <w:trHeight w:val="539"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规章</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行政规范性文件</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第二十条第（五）项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行政许可</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lang w:val="en-US" w:eastAsia="zh-CN"/>
              </w:rPr>
              <w:t>4567</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第二十条第（六）项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行政处罚</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1</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行政强制</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第二十条第（八）项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本年收费金额（单位：万元）</w:t>
            </w:r>
          </w:p>
        </w:tc>
      </w:tr>
      <w:tr>
        <w:tblPrEx>
          <w:tblCellMar>
            <w:top w:w="0" w:type="dxa"/>
            <w:left w:w="108" w:type="dxa"/>
            <w:bottom w:w="0" w:type="dxa"/>
            <w:right w:w="108" w:type="dxa"/>
          </w:tblCellMar>
        </w:tblPrEx>
        <w:trPr>
          <w:trHeight w:val="567" w:hRule="atLeast"/>
        </w:trPr>
        <w:tc>
          <w:tcPr>
            <w:tcW w:w="2206"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行政事业性收费</w:t>
            </w:r>
          </w:p>
        </w:tc>
        <w:tc>
          <w:tcPr>
            <w:tcW w:w="6618" w:type="dxa"/>
            <w:gridSpan w:val="3"/>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0</w:t>
            </w:r>
          </w:p>
        </w:tc>
      </w:tr>
    </w:tbl>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黑体" w:cs="Times New Roman"/>
          <w:i w:val="0"/>
          <w:iCs w:val="0"/>
          <w:caps w:val="0"/>
          <w:color w:val="000000"/>
          <w:spacing w:val="0"/>
          <w:sz w:val="32"/>
          <w:szCs w:val="32"/>
          <w:lang w:eastAsia="zh-CN"/>
        </w:rPr>
      </w:pPr>
      <w:r>
        <w:rPr>
          <w:rFonts w:hint="default" w:ascii="Times New Roman" w:hAnsi="Times New Roman" w:eastAsia="黑体" w:cs="Times New Roman"/>
          <w:i w:val="0"/>
          <w:iCs w:val="0"/>
          <w:caps w:val="0"/>
          <w:color w:val="000000"/>
          <w:spacing w:val="0"/>
          <w:sz w:val="32"/>
          <w:szCs w:val="32"/>
          <w:lang w:eastAsia="zh-CN"/>
        </w:rPr>
        <w:t>三、</w:t>
      </w:r>
      <w:r>
        <w:rPr>
          <w:rFonts w:hint="default" w:ascii="Times New Roman" w:hAnsi="Times New Roman" w:eastAsia="黑体" w:cs="Times New Roman"/>
          <w:i w:val="0"/>
          <w:iCs w:val="0"/>
          <w:caps w:val="0"/>
          <w:color w:val="000000"/>
          <w:spacing w:val="0"/>
          <w:sz w:val="32"/>
          <w:szCs w:val="32"/>
        </w:rPr>
        <w:t>收到和处理政府信息公开申请情况</w:t>
      </w:r>
    </w:p>
    <w:tbl>
      <w:tblPr>
        <w:tblStyle w:val="3"/>
        <w:tblW w:w="991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829"/>
        <w:gridCol w:w="567"/>
        <w:gridCol w:w="567"/>
        <w:gridCol w:w="731"/>
        <w:gridCol w:w="708"/>
        <w:gridCol w:w="567"/>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93" w:type="dxa"/>
            <w:gridSpan w:val="3"/>
            <w:vMerge w:val="restart"/>
            <w:shd w:val="clear" w:color="auto" w:fill="auto"/>
            <w:tcMar>
              <w:left w:w="108" w:type="dxa"/>
              <w:right w:w="108" w:type="dxa"/>
            </w:tcMar>
            <w:vAlign w:val="center"/>
          </w:tcPr>
          <w:p>
            <w:pPr>
              <w:widowControl/>
              <w:jc w:val="center"/>
              <w:rPr>
                <w:rFonts w:hint="default" w:ascii="Times New Roman" w:hAnsi="Times New Roman" w:eastAsia="楷体_GB2312" w:cs="Times New Roman"/>
                <w:kern w:val="0"/>
                <w:szCs w:val="21"/>
              </w:rPr>
            </w:pPr>
            <w:r>
              <w:rPr>
                <w:rFonts w:hint="default" w:ascii="Times New Roman" w:hAnsi="Times New Roman" w:eastAsia="楷体_GB2312" w:cs="Times New Roman"/>
                <w:kern w:val="0"/>
                <w:szCs w:val="21"/>
              </w:rPr>
              <w:t>（本列数据的勾稽关系为：第一项加第二项之和，</w:t>
            </w:r>
          </w:p>
          <w:p>
            <w:pPr>
              <w:widowControl/>
              <w:jc w:val="center"/>
              <w:rPr>
                <w:rFonts w:hint="default" w:ascii="Times New Roman" w:hAnsi="Times New Roman" w:eastAsia="仿宋_GB2312" w:cs="Times New Roman"/>
                <w:szCs w:val="21"/>
              </w:rPr>
            </w:pPr>
            <w:r>
              <w:rPr>
                <w:rFonts w:hint="default" w:ascii="Times New Roman" w:hAnsi="Times New Roman" w:eastAsia="楷体_GB2312" w:cs="Times New Roman"/>
                <w:kern w:val="0"/>
                <w:szCs w:val="21"/>
              </w:rPr>
              <w:t>等于第三项加第四项之和）</w:t>
            </w:r>
          </w:p>
        </w:tc>
        <w:tc>
          <w:tcPr>
            <w:tcW w:w="4820" w:type="dxa"/>
            <w:gridSpan w:val="7"/>
            <w:shd w:val="clear" w:color="auto" w:fill="auto"/>
            <w:tcMar>
              <w:left w:w="108" w:type="dxa"/>
              <w:right w:w="108" w:type="dxa"/>
            </w:tcMar>
            <w:vAlign w:val="center"/>
          </w:tcPr>
          <w:p>
            <w:pPr>
              <w:widowControl/>
              <w:spacing w:line="320" w:lineRule="exact"/>
              <w:jc w:val="center"/>
              <w:rPr>
                <w:rFonts w:hint="default" w:ascii="Times New Roman" w:hAnsi="Times New Roman" w:eastAsia="黑体" w:cs="Times New Roman"/>
                <w:szCs w:val="21"/>
              </w:rPr>
            </w:pPr>
            <w:r>
              <w:rPr>
                <w:rFonts w:hint="default" w:ascii="Times New Roman" w:hAnsi="Times New Roman" w:eastAsia="黑体" w:cs="Times New Roman"/>
                <w:kern w:val="0"/>
                <w:szCs w:val="21"/>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93" w:type="dxa"/>
            <w:gridSpan w:val="3"/>
            <w:vMerge w:val="continue"/>
            <w:shd w:val="clear" w:color="auto" w:fill="auto"/>
            <w:tcMar>
              <w:left w:w="108" w:type="dxa"/>
              <w:right w:w="108" w:type="dxa"/>
            </w:tcMar>
            <w:vAlign w:val="center"/>
          </w:tcPr>
          <w:p>
            <w:pPr>
              <w:jc w:val="center"/>
              <w:rPr>
                <w:rFonts w:hint="default" w:ascii="Times New Roman" w:hAnsi="Times New Roman" w:eastAsia="仿宋_GB2312" w:cs="Times New Roman"/>
                <w:szCs w:val="21"/>
              </w:rPr>
            </w:pPr>
          </w:p>
        </w:tc>
        <w:tc>
          <w:tcPr>
            <w:tcW w:w="829" w:type="dxa"/>
            <w:vMerge w:val="restart"/>
            <w:shd w:val="clear" w:color="auto" w:fill="auto"/>
            <w:tcMar>
              <w:left w:w="108" w:type="dxa"/>
              <w:right w:w="108" w:type="dxa"/>
            </w:tcMar>
            <w:vAlign w:val="center"/>
          </w:tcPr>
          <w:p>
            <w:pPr>
              <w:widowControl/>
              <w:jc w:val="center"/>
              <w:rPr>
                <w:rFonts w:hint="default" w:ascii="Times New Roman" w:hAnsi="Times New Roman" w:eastAsia="黑体" w:cs="Times New Roman"/>
                <w:szCs w:val="21"/>
              </w:rPr>
            </w:pPr>
            <w:r>
              <w:rPr>
                <w:rFonts w:hint="default" w:ascii="Times New Roman" w:hAnsi="Times New Roman" w:eastAsia="黑体" w:cs="Times New Roman"/>
                <w:kern w:val="0"/>
                <w:szCs w:val="21"/>
              </w:rPr>
              <w:t>自然人</w:t>
            </w:r>
          </w:p>
        </w:tc>
        <w:tc>
          <w:tcPr>
            <w:tcW w:w="3140" w:type="dxa"/>
            <w:gridSpan w:val="5"/>
            <w:shd w:val="clear" w:color="auto" w:fill="auto"/>
            <w:tcMar>
              <w:left w:w="108" w:type="dxa"/>
              <w:right w:w="108" w:type="dxa"/>
            </w:tcMar>
            <w:vAlign w:val="center"/>
          </w:tcPr>
          <w:p>
            <w:pPr>
              <w:widowControl/>
              <w:spacing w:line="320" w:lineRule="exact"/>
              <w:jc w:val="center"/>
              <w:rPr>
                <w:rFonts w:hint="default" w:ascii="Times New Roman" w:hAnsi="Times New Roman" w:eastAsia="黑体" w:cs="Times New Roman"/>
                <w:szCs w:val="21"/>
              </w:rPr>
            </w:pPr>
            <w:r>
              <w:rPr>
                <w:rFonts w:hint="default" w:ascii="Times New Roman" w:hAnsi="Times New Roman" w:eastAsia="黑体" w:cs="Times New Roman"/>
                <w:kern w:val="0"/>
                <w:szCs w:val="21"/>
              </w:rPr>
              <w:t>法人或其他组织</w:t>
            </w:r>
          </w:p>
        </w:tc>
        <w:tc>
          <w:tcPr>
            <w:tcW w:w="851" w:type="dxa"/>
            <w:vMerge w:val="restart"/>
            <w:shd w:val="clear" w:color="auto" w:fill="auto"/>
            <w:tcMar>
              <w:left w:w="108" w:type="dxa"/>
              <w:right w:w="108" w:type="dxa"/>
            </w:tcMar>
            <w:vAlign w:val="center"/>
          </w:tcPr>
          <w:p>
            <w:pPr>
              <w:widowControl/>
              <w:jc w:val="center"/>
              <w:rPr>
                <w:rFonts w:hint="default" w:ascii="Times New Roman" w:hAnsi="Times New Roman" w:eastAsia="黑体" w:cs="Times New Roman"/>
                <w:szCs w:val="21"/>
              </w:rPr>
            </w:pPr>
            <w:r>
              <w:rPr>
                <w:rFonts w:hint="default" w:ascii="Times New Roman" w:hAnsi="Times New Roman" w:eastAsia="黑体" w:cs="Times New Roman"/>
                <w:kern w:val="0"/>
                <w:szCs w:val="21"/>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93" w:type="dxa"/>
            <w:gridSpan w:val="3"/>
            <w:vMerge w:val="continue"/>
            <w:shd w:val="clear" w:color="auto" w:fill="auto"/>
            <w:tcMar>
              <w:left w:w="108" w:type="dxa"/>
              <w:right w:w="108" w:type="dxa"/>
            </w:tcMar>
            <w:vAlign w:val="center"/>
          </w:tcPr>
          <w:p>
            <w:pPr>
              <w:jc w:val="center"/>
              <w:rPr>
                <w:rFonts w:hint="default" w:ascii="Times New Roman" w:hAnsi="Times New Roman" w:eastAsia="仿宋_GB2312" w:cs="Times New Roman"/>
                <w:szCs w:val="21"/>
              </w:rPr>
            </w:pPr>
          </w:p>
        </w:tc>
        <w:tc>
          <w:tcPr>
            <w:tcW w:w="829" w:type="dxa"/>
            <w:vMerge w:val="continue"/>
            <w:shd w:val="clear" w:color="auto" w:fill="auto"/>
            <w:tcMar>
              <w:left w:w="108" w:type="dxa"/>
              <w:right w:w="108" w:type="dxa"/>
            </w:tcMar>
            <w:vAlign w:val="center"/>
          </w:tcPr>
          <w:p>
            <w:pPr>
              <w:jc w:val="center"/>
              <w:rPr>
                <w:rFonts w:hint="default" w:ascii="Times New Roman" w:hAnsi="Times New Roman" w:eastAsia="黑体" w:cs="Times New Roman"/>
                <w:szCs w:val="21"/>
              </w:rPr>
            </w:pPr>
          </w:p>
        </w:tc>
        <w:tc>
          <w:tcPr>
            <w:tcW w:w="567" w:type="dxa"/>
            <w:shd w:val="clear" w:color="auto" w:fill="auto"/>
            <w:tcMar>
              <w:left w:w="108" w:type="dxa"/>
              <w:right w:w="108" w:type="dxa"/>
            </w:tcMar>
            <w:vAlign w:val="center"/>
          </w:tcPr>
          <w:p>
            <w:pPr>
              <w:widowControl/>
              <w:spacing w:line="320" w:lineRule="exact"/>
              <w:ind w:left="-106" w:leftChars="-51" w:right="-107" w:rightChars="-51" w:hanging="1"/>
              <w:jc w:val="center"/>
              <w:rPr>
                <w:rFonts w:hint="default" w:ascii="Times New Roman" w:hAnsi="Times New Roman" w:eastAsia="黑体" w:cs="Times New Roman"/>
                <w:szCs w:val="21"/>
              </w:rPr>
            </w:pPr>
            <w:r>
              <w:rPr>
                <w:rFonts w:hint="default" w:ascii="Times New Roman" w:hAnsi="Times New Roman" w:eastAsia="黑体" w:cs="Times New Roman"/>
                <w:kern w:val="0"/>
                <w:szCs w:val="21"/>
              </w:rPr>
              <w:t>商业企业</w:t>
            </w:r>
          </w:p>
        </w:tc>
        <w:tc>
          <w:tcPr>
            <w:tcW w:w="567" w:type="dxa"/>
            <w:shd w:val="clear" w:color="auto" w:fill="auto"/>
            <w:tcMar>
              <w:left w:w="108" w:type="dxa"/>
              <w:right w:w="108" w:type="dxa"/>
            </w:tcMar>
            <w:vAlign w:val="center"/>
          </w:tcPr>
          <w:p>
            <w:pPr>
              <w:widowControl/>
              <w:spacing w:line="320" w:lineRule="exact"/>
              <w:ind w:left="-107" w:leftChars="-51" w:right="-107" w:rightChars="-51"/>
              <w:jc w:val="center"/>
              <w:rPr>
                <w:rFonts w:hint="default" w:ascii="Times New Roman" w:hAnsi="Times New Roman" w:eastAsia="黑体" w:cs="Times New Roman"/>
                <w:szCs w:val="21"/>
              </w:rPr>
            </w:pPr>
            <w:r>
              <w:rPr>
                <w:rFonts w:hint="default" w:ascii="Times New Roman" w:hAnsi="Times New Roman" w:eastAsia="黑体" w:cs="Times New Roman"/>
                <w:kern w:val="0"/>
                <w:szCs w:val="21"/>
              </w:rPr>
              <w:t>科研机构</w:t>
            </w:r>
          </w:p>
        </w:tc>
        <w:tc>
          <w:tcPr>
            <w:tcW w:w="731" w:type="dxa"/>
            <w:shd w:val="clear" w:color="auto" w:fill="auto"/>
            <w:tcMar>
              <w:left w:w="108" w:type="dxa"/>
              <w:right w:w="108" w:type="dxa"/>
            </w:tcMar>
            <w:vAlign w:val="center"/>
          </w:tcPr>
          <w:p>
            <w:pPr>
              <w:widowControl/>
              <w:spacing w:line="320" w:lineRule="exact"/>
              <w:ind w:left="-107" w:leftChars="-51" w:right="-107" w:rightChars="-51"/>
              <w:jc w:val="center"/>
              <w:rPr>
                <w:rFonts w:hint="default" w:ascii="Times New Roman" w:hAnsi="Times New Roman" w:eastAsia="黑体" w:cs="Times New Roman"/>
                <w:szCs w:val="21"/>
              </w:rPr>
            </w:pPr>
            <w:r>
              <w:rPr>
                <w:rFonts w:hint="default" w:ascii="Times New Roman" w:hAnsi="Times New Roman" w:eastAsia="黑体" w:cs="Times New Roman"/>
                <w:kern w:val="0"/>
                <w:szCs w:val="21"/>
              </w:rPr>
              <w:t>社会公益组织</w:t>
            </w:r>
          </w:p>
        </w:tc>
        <w:tc>
          <w:tcPr>
            <w:tcW w:w="708" w:type="dxa"/>
            <w:shd w:val="clear" w:color="auto" w:fill="auto"/>
            <w:tcMar>
              <w:left w:w="108" w:type="dxa"/>
              <w:right w:w="108" w:type="dxa"/>
            </w:tcMar>
            <w:vAlign w:val="center"/>
          </w:tcPr>
          <w:p>
            <w:pPr>
              <w:widowControl/>
              <w:spacing w:line="320" w:lineRule="exact"/>
              <w:ind w:left="-106" w:leftChars="-51" w:right="-107" w:rightChars="-51" w:hanging="1"/>
              <w:jc w:val="center"/>
              <w:rPr>
                <w:rFonts w:hint="default" w:ascii="Times New Roman" w:hAnsi="Times New Roman" w:eastAsia="黑体" w:cs="Times New Roman"/>
                <w:szCs w:val="21"/>
              </w:rPr>
            </w:pPr>
            <w:r>
              <w:rPr>
                <w:rFonts w:hint="default" w:ascii="Times New Roman" w:hAnsi="Times New Roman" w:eastAsia="黑体" w:cs="Times New Roman"/>
                <w:kern w:val="0"/>
                <w:szCs w:val="21"/>
              </w:rPr>
              <w:t>法律服务机构</w:t>
            </w:r>
          </w:p>
        </w:tc>
        <w:tc>
          <w:tcPr>
            <w:tcW w:w="567" w:type="dxa"/>
            <w:shd w:val="clear" w:color="auto" w:fill="auto"/>
            <w:tcMar>
              <w:left w:w="108" w:type="dxa"/>
              <w:right w:w="108" w:type="dxa"/>
            </w:tcMar>
            <w:vAlign w:val="center"/>
          </w:tcPr>
          <w:p>
            <w:pPr>
              <w:widowControl/>
              <w:spacing w:line="360" w:lineRule="exact"/>
              <w:ind w:left="-63" w:leftChars="-30" w:right="-134" w:rightChars="-64"/>
              <w:jc w:val="center"/>
              <w:rPr>
                <w:rFonts w:hint="default" w:ascii="Times New Roman" w:hAnsi="Times New Roman" w:eastAsia="黑体" w:cs="Times New Roman"/>
                <w:szCs w:val="21"/>
              </w:rPr>
            </w:pPr>
            <w:r>
              <w:rPr>
                <w:rFonts w:hint="default" w:ascii="Times New Roman" w:hAnsi="Times New Roman" w:eastAsia="黑体" w:cs="Times New Roman"/>
                <w:kern w:val="0"/>
                <w:szCs w:val="21"/>
              </w:rPr>
              <w:t>其他</w:t>
            </w:r>
          </w:p>
        </w:tc>
        <w:tc>
          <w:tcPr>
            <w:tcW w:w="851" w:type="dxa"/>
            <w:vMerge w:val="continue"/>
            <w:shd w:val="clear" w:color="auto" w:fill="auto"/>
            <w:tcMar>
              <w:left w:w="108" w:type="dxa"/>
              <w:right w:w="108" w:type="dxa"/>
            </w:tcMar>
            <w:vAlign w:val="center"/>
          </w:tcPr>
          <w:p>
            <w:pPr>
              <w:jc w:val="center"/>
              <w:rPr>
                <w:rFonts w:hint="default" w:ascii="Times New Roman" w:hAnsi="Times New Roman" w:eastAsia="仿宋_GB2312"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rPr>
                <w:rFonts w:hint="default" w:ascii="Times New Roman" w:hAnsi="Times New Roman" w:eastAsia="黑体" w:cs="Times New Roman"/>
                <w:szCs w:val="21"/>
              </w:rPr>
            </w:pPr>
            <w:r>
              <w:rPr>
                <w:rFonts w:hint="default" w:ascii="Times New Roman" w:hAnsi="Times New Roman" w:eastAsia="黑体" w:cs="Times New Roman"/>
                <w:kern w:val="0"/>
                <w:szCs w:val="21"/>
              </w:rPr>
              <w:t>一、</w:t>
            </w:r>
            <w:bookmarkStart w:id="0" w:name="_Hlk66973412"/>
            <w:r>
              <w:rPr>
                <w:rFonts w:hint="default" w:ascii="Times New Roman" w:hAnsi="Times New Roman" w:eastAsia="黑体" w:cs="Times New Roman"/>
                <w:kern w:val="0"/>
                <w:szCs w:val="21"/>
              </w:rPr>
              <w:t>本年新收政府信息公开申请数量</w:t>
            </w:r>
            <w:bookmarkEnd w:id="0"/>
          </w:p>
        </w:tc>
        <w:tc>
          <w:tcPr>
            <w:tcW w:w="829"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1</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rPr>
                <w:rFonts w:hint="default" w:ascii="Times New Roman" w:hAnsi="Times New Roman" w:eastAsia="黑体" w:cs="Times New Roman"/>
                <w:szCs w:val="21"/>
              </w:rPr>
            </w:pPr>
            <w:r>
              <w:rPr>
                <w:rFonts w:hint="default" w:ascii="Times New Roman" w:hAnsi="Times New Roman" w:eastAsia="黑体" w:cs="Times New Roman"/>
                <w:kern w:val="0"/>
                <w:szCs w:val="21"/>
              </w:rPr>
              <w:t>二、上年结转政府信息公开申请数量</w:t>
            </w:r>
          </w:p>
        </w:tc>
        <w:tc>
          <w:tcPr>
            <w:tcW w:w="829"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restart"/>
            <w:shd w:val="clear" w:color="auto" w:fill="auto"/>
            <w:tcMar>
              <w:left w:w="108" w:type="dxa"/>
              <w:right w:w="108" w:type="dxa"/>
            </w:tcMar>
            <w:vAlign w:val="center"/>
          </w:tcPr>
          <w:p>
            <w:pPr>
              <w:widowControl/>
              <w:spacing w:after="180"/>
              <w:rPr>
                <w:rFonts w:hint="default" w:ascii="Times New Roman" w:hAnsi="Times New Roman" w:eastAsia="黑体" w:cs="Times New Roman"/>
                <w:szCs w:val="21"/>
              </w:rPr>
            </w:pPr>
            <w:r>
              <w:rPr>
                <w:rFonts w:hint="default" w:ascii="Times New Roman" w:hAnsi="Times New Roman" w:eastAsia="黑体" w:cs="Times New Roman"/>
                <w:kern w:val="0"/>
                <w:szCs w:val="21"/>
              </w:rPr>
              <w:t>三、本年度办理结果</w:t>
            </w:r>
          </w:p>
        </w:tc>
        <w:tc>
          <w:tcPr>
            <w:tcW w:w="4677" w:type="dxa"/>
            <w:gridSpan w:val="2"/>
            <w:shd w:val="clear" w:color="auto" w:fill="auto"/>
            <w:tcMar>
              <w:left w:w="108" w:type="dxa"/>
              <w:right w:w="108" w:type="dxa"/>
            </w:tcMar>
            <w:vAlign w:val="center"/>
          </w:tcPr>
          <w:p>
            <w:pPr>
              <w:widowControl/>
              <w:rPr>
                <w:rFonts w:hint="default" w:ascii="Times New Roman" w:hAnsi="Times New Roman" w:eastAsia="黑体" w:cs="Times New Roman"/>
                <w:szCs w:val="21"/>
              </w:rPr>
            </w:pPr>
            <w:r>
              <w:rPr>
                <w:rFonts w:hint="default" w:ascii="Times New Roman" w:hAnsi="Times New Roman" w:eastAsia="黑体" w:cs="Times New Roman"/>
                <w:kern w:val="0"/>
                <w:szCs w:val="21"/>
              </w:rPr>
              <w:t>（一）予以公开</w:t>
            </w:r>
          </w:p>
        </w:tc>
        <w:tc>
          <w:tcPr>
            <w:tcW w:w="829" w:type="dxa"/>
            <w:shd w:val="clear" w:color="auto" w:fill="auto"/>
            <w:tcMar>
              <w:left w:w="108" w:type="dxa"/>
              <w:right w:w="108" w:type="dxa"/>
            </w:tcMar>
            <w:vAlign w:val="center"/>
          </w:tcPr>
          <w:p>
            <w:pPr>
              <w:widowControl/>
              <w:spacing w:after="180"/>
              <w:jc w:val="center"/>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1</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4677" w:type="dxa"/>
            <w:gridSpan w:val="2"/>
            <w:shd w:val="clear" w:color="auto" w:fill="auto"/>
            <w:tcMar>
              <w:left w:w="108" w:type="dxa"/>
              <w:right w:w="108" w:type="dxa"/>
            </w:tcMar>
            <w:vAlign w:val="center"/>
          </w:tcPr>
          <w:p>
            <w:pPr>
              <w:widowControl/>
              <w:rPr>
                <w:rFonts w:hint="default" w:ascii="Times New Roman" w:hAnsi="Times New Roman" w:eastAsia="黑体" w:cs="Times New Roman"/>
                <w:szCs w:val="21"/>
              </w:rPr>
            </w:pPr>
            <w:r>
              <w:rPr>
                <w:rFonts w:hint="default" w:ascii="Times New Roman" w:hAnsi="Times New Roman" w:eastAsia="黑体" w:cs="Times New Roman"/>
                <w:kern w:val="0"/>
                <w:szCs w:val="21"/>
              </w:rPr>
              <w:t>（二）部分公开（</w:t>
            </w:r>
            <w:bookmarkStart w:id="1" w:name="_Hlk66973981"/>
            <w:r>
              <w:rPr>
                <w:rFonts w:hint="default" w:ascii="Times New Roman" w:hAnsi="Times New Roman" w:eastAsia="黑体" w:cs="Times New Roman"/>
                <w:kern w:val="0"/>
                <w:szCs w:val="21"/>
              </w:rPr>
              <w:t>区分处理的，只计这一情形，不计其他情形</w:t>
            </w:r>
            <w:bookmarkEnd w:id="1"/>
            <w:r>
              <w:rPr>
                <w:rFonts w:hint="default" w:ascii="Times New Roman" w:hAnsi="Times New Roman" w:eastAsia="黑体" w:cs="Times New Roman"/>
                <w:kern w:val="0"/>
                <w:szCs w:val="21"/>
              </w:rPr>
              <w:t>）</w:t>
            </w:r>
          </w:p>
        </w:tc>
        <w:tc>
          <w:tcPr>
            <w:tcW w:w="829"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hint="default" w:ascii="Times New Roman" w:hAnsi="Times New Roman" w:eastAsia="黑体" w:cs="Times New Roman"/>
                <w:szCs w:val="21"/>
              </w:rPr>
            </w:pPr>
            <w:r>
              <w:rPr>
                <w:rFonts w:hint="default" w:ascii="Times New Roman" w:hAnsi="Times New Roman" w:eastAsia="黑体" w:cs="Times New Roman"/>
                <w:kern w:val="0"/>
                <w:szCs w:val="21"/>
              </w:rPr>
              <w:t>（三）不予公开</w:t>
            </w: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Cs w:val="21"/>
              </w:rPr>
              <w:t>1.属于国家秘密</w:t>
            </w:r>
          </w:p>
        </w:tc>
        <w:tc>
          <w:tcPr>
            <w:tcW w:w="829"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spacing w:line="200" w:lineRule="exact"/>
              <w:rPr>
                <w:rFonts w:hint="default" w:ascii="Times New Roman" w:hAnsi="Times New Roman" w:eastAsia="黑体" w:cs="Times New Roman"/>
                <w:szCs w:val="21"/>
              </w:rPr>
            </w:pP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Cs w:val="21"/>
              </w:rPr>
              <w:t>2.其他法律行政法规禁止公开</w:t>
            </w:r>
          </w:p>
        </w:tc>
        <w:tc>
          <w:tcPr>
            <w:tcW w:w="829"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spacing w:line="200" w:lineRule="exact"/>
              <w:rPr>
                <w:rFonts w:hint="default" w:ascii="Times New Roman" w:hAnsi="Times New Roman" w:eastAsia="黑体" w:cs="Times New Roman"/>
                <w:szCs w:val="21"/>
              </w:rPr>
            </w:pP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Cs w:val="21"/>
              </w:rPr>
              <w:t>3.危及“三安全一稳定”</w:t>
            </w:r>
          </w:p>
        </w:tc>
        <w:tc>
          <w:tcPr>
            <w:tcW w:w="829"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spacing w:line="200" w:lineRule="exact"/>
              <w:rPr>
                <w:rFonts w:hint="default" w:ascii="Times New Roman" w:hAnsi="Times New Roman" w:eastAsia="黑体" w:cs="Times New Roman"/>
                <w:szCs w:val="21"/>
              </w:rPr>
            </w:pP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Cs w:val="21"/>
              </w:rPr>
              <w:t>4.保护第三方合法权益</w:t>
            </w:r>
          </w:p>
        </w:tc>
        <w:tc>
          <w:tcPr>
            <w:tcW w:w="829"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spacing w:line="200" w:lineRule="exact"/>
              <w:rPr>
                <w:rFonts w:hint="default" w:ascii="Times New Roman" w:hAnsi="Times New Roman" w:eastAsia="黑体" w:cs="Times New Roman"/>
                <w:szCs w:val="21"/>
              </w:rPr>
            </w:pP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Cs w:val="21"/>
              </w:rPr>
              <w:t>5.属于三类内部事务信息</w:t>
            </w:r>
          </w:p>
        </w:tc>
        <w:tc>
          <w:tcPr>
            <w:tcW w:w="829"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spacing w:line="200" w:lineRule="exact"/>
              <w:rPr>
                <w:rFonts w:hint="default" w:ascii="Times New Roman" w:hAnsi="Times New Roman" w:eastAsia="黑体" w:cs="Times New Roman"/>
                <w:szCs w:val="21"/>
              </w:rPr>
            </w:pP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Cs w:val="21"/>
              </w:rPr>
              <w:t>6.属于四类过程性信息</w:t>
            </w:r>
          </w:p>
        </w:tc>
        <w:tc>
          <w:tcPr>
            <w:tcW w:w="829"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spacing w:line="200" w:lineRule="exact"/>
              <w:rPr>
                <w:rFonts w:hint="default" w:ascii="Times New Roman" w:hAnsi="Times New Roman" w:eastAsia="黑体" w:cs="Times New Roman"/>
                <w:szCs w:val="21"/>
              </w:rPr>
            </w:pP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Cs w:val="21"/>
              </w:rPr>
              <w:t>7.属于行政执法案卷</w:t>
            </w:r>
          </w:p>
        </w:tc>
        <w:tc>
          <w:tcPr>
            <w:tcW w:w="829"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spacing w:line="200" w:lineRule="exact"/>
              <w:rPr>
                <w:rFonts w:hint="default" w:ascii="Times New Roman" w:hAnsi="Times New Roman" w:eastAsia="黑体" w:cs="Times New Roman"/>
                <w:szCs w:val="21"/>
              </w:rPr>
            </w:pP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Cs w:val="21"/>
              </w:rPr>
              <w:t>8.属于行政查询事项</w:t>
            </w:r>
          </w:p>
        </w:tc>
        <w:tc>
          <w:tcPr>
            <w:tcW w:w="829"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hint="default" w:ascii="Times New Roman" w:hAnsi="Times New Roman" w:eastAsia="黑体" w:cs="Times New Roman"/>
                <w:szCs w:val="21"/>
              </w:rPr>
            </w:pPr>
            <w:r>
              <w:rPr>
                <w:rFonts w:hint="default" w:ascii="Times New Roman" w:hAnsi="Times New Roman" w:eastAsia="黑体" w:cs="Times New Roman"/>
                <w:kern w:val="0"/>
                <w:szCs w:val="21"/>
              </w:rPr>
              <w:t>（四）无法提供</w:t>
            </w: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1.本机关不掌握相关政府信息</w:t>
            </w:r>
          </w:p>
        </w:tc>
        <w:tc>
          <w:tcPr>
            <w:tcW w:w="829"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spacing w:line="200" w:lineRule="exact"/>
              <w:ind w:left="-107" w:leftChars="-51"/>
              <w:rPr>
                <w:rFonts w:hint="default" w:ascii="Times New Roman" w:hAnsi="Times New Roman" w:eastAsia="黑体" w:cs="Times New Roman"/>
                <w:szCs w:val="21"/>
              </w:rPr>
            </w:pP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2.</w:t>
            </w:r>
            <w:bookmarkStart w:id="2" w:name="_Hlk66975392"/>
            <w:r>
              <w:rPr>
                <w:rFonts w:hint="default" w:ascii="Times New Roman" w:hAnsi="Times New Roman" w:eastAsia="仿宋_GB2312" w:cs="Times New Roman"/>
                <w:kern w:val="0"/>
                <w:szCs w:val="21"/>
              </w:rPr>
              <w:t>没有现成信息需要另行制作</w:t>
            </w:r>
            <w:bookmarkEnd w:id="2"/>
          </w:p>
        </w:tc>
        <w:tc>
          <w:tcPr>
            <w:tcW w:w="829"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spacing w:line="200" w:lineRule="exact"/>
              <w:ind w:left="-107" w:leftChars="-51"/>
              <w:rPr>
                <w:rFonts w:hint="default" w:ascii="Times New Roman" w:hAnsi="Times New Roman" w:eastAsia="黑体" w:cs="Times New Roman"/>
                <w:szCs w:val="21"/>
              </w:rPr>
            </w:pP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3.</w:t>
            </w:r>
            <w:bookmarkStart w:id="3" w:name="_Hlk66975466"/>
            <w:r>
              <w:rPr>
                <w:rFonts w:hint="default" w:ascii="Times New Roman" w:hAnsi="Times New Roman" w:eastAsia="仿宋_GB2312" w:cs="Times New Roman"/>
                <w:kern w:val="0"/>
                <w:szCs w:val="21"/>
              </w:rPr>
              <w:t>补正后申请内容仍不明确</w:t>
            </w:r>
            <w:bookmarkEnd w:id="3"/>
          </w:p>
        </w:tc>
        <w:tc>
          <w:tcPr>
            <w:tcW w:w="829"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hint="default" w:ascii="Times New Roman" w:hAnsi="Times New Roman" w:eastAsia="黑体" w:cs="Times New Roman"/>
                <w:szCs w:val="21"/>
              </w:rPr>
            </w:pPr>
            <w:r>
              <w:rPr>
                <w:rFonts w:hint="default" w:ascii="Times New Roman" w:hAnsi="Times New Roman" w:eastAsia="黑体" w:cs="Times New Roman"/>
                <w:kern w:val="0"/>
                <w:szCs w:val="21"/>
              </w:rPr>
              <w:t>（五）不予处理</w:t>
            </w: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w:t>
            </w:r>
            <w:bookmarkStart w:id="4" w:name="_Hlk66975537"/>
            <w:r>
              <w:rPr>
                <w:rFonts w:hint="default" w:ascii="Times New Roman" w:hAnsi="Times New Roman" w:eastAsia="仿宋_GB2312" w:cs="Times New Roman"/>
                <w:kern w:val="0"/>
                <w:szCs w:val="21"/>
              </w:rPr>
              <w:t>信访举报投诉类申请</w:t>
            </w:r>
            <w:bookmarkEnd w:id="4"/>
          </w:p>
        </w:tc>
        <w:tc>
          <w:tcPr>
            <w:tcW w:w="829"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spacing w:line="200" w:lineRule="exact"/>
              <w:rPr>
                <w:rFonts w:hint="default" w:ascii="Times New Roman" w:hAnsi="Times New Roman" w:eastAsia="黑体" w:cs="Times New Roman"/>
                <w:szCs w:val="21"/>
              </w:rPr>
            </w:pP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2.重复申请</w:t>
            </w:r>
          </w:p>
        </w:tc>
        <w:tc>
          <w:tcPr>
            <w:tcW w:w="829"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spacing w:line="200" w:lineRule="exact"/>
              <w:rPr>
                <w:rFonts w:hint="default" w:ascii="Times New Roman" w:hAnsi="Times New Roman" w:eastAsia="黑体" w:cs="Times New Roman"/>
                <w:szCs w:val="21"/>
              </w:rPr>
            </w:pP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Times New Roman" w:hAnsi="Times New Roman" w:eastAsia="仿宋_GB2312" w:cs="Times New Roman"/>
                <w:szCs w:val="21"/>
              </w:rPr>
            </w:pPr>
            <w:r>
              <w:rPr>
                <w:rFonts w:hint="default" w:ascii="Times New Roman" w:hAnsi="Times New Roman" w:eastAsia="仿宋_GB2312" w:cs="Times New Roman"/>
                <w:kern w:val="0"/>
                <w:szCs w:val="21"/>
              </w:rPr>
              <w:t>3.要求提供公开出版物</w:t>
            </w:r>
          </w:p>
        </w:tc>
        <w:tc>
          <w:tcPr>
            <w:tcW w:w="829"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spacing w:line="200" w:lineRule="exact"/>
              <w:rPr>
                <w:rFonts w:hint="default" w:ascii="Times New Roman" w:hAnsi="Times New Roman" w:eastAsia="黑体" w:cs="Times New Roman"/>
                <w:szCs w:val="21"/>
              </w:rPr>
            </w:pP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Times New Roman" w:hAnsi="Times New Roman" w:eastAsia="仿宋_GB2312" w:cs="Times New Roman"/>
                <w:szCs w:val="21"/>
              </w:rPr>
            </w:pPr>
            <w:r>
              <w:rPr>
                <w:rFonts w:hint="default" w:ascii="Times New Roman" w:hAnsi="Times New Roman" w:eastAsia="仿宋_GB2312" w:cs="Times New Roman"/>
                <w:kern w:val="0"/>
                <w:szCs w:val="21"/>
              </w:rPr>
              <w:t>4.无正当理由大量反复申请</w:t>
            </w:r>
          </w:p>
        </w:tc>
        <w:tc>
          <w:tcPr>
            <w:tcW w:w="829"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spacing w:line="200" w:lineRule="exact"/>
              <w:rPr>
                <w:rFonts w:hint="default" w:ascii="Times New Roman" w:hAnsi="Times New Roman" w:eastAsia="黑体" w:cs="Times New Roman"/>
                <w:szCs w:val="21"/>
              </w:rPr>
            </w:pP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5.要求行政机关确认或重新</w:t>
            </w:r>
          </w:p>
          <w:p>
            <w:pPr>
              <w:keepNext w:val="0"/>
              <w:keepLines w:val="0"/>
              <w:pageBreakBefore w:val="0"/>
              <w:widowControl/>
              <w:kinsoku/>
              <w:wordWrap/>
              <w:overflowPunct/>
              <w:topLinePunct w:val="0"/>
              <w:autoSpaceDE/>
              <w:autoSpaceDN/>
              <w:bidi w:val="0"/>
              <w:adjustRightInd/>
              <w:snapToGrid/>
              <w:spacing w:line="240" w:lineRule="exact"/>
              <w:ind w:firstLine="210" w:firstLineChars="100"/>
              <w:textAlignment w:val="auto"/>
              <w:rPr>
                <w:rFonts w:hint="default" w:ascii="Times New Roman" w:hAnsi="Times New Roman" w:eastAsia="仿宋_GB2312" w:cs="Times New Roman"/>
                <w:szCs w:val="21"/>
              </w:rPr>
            </w:pPr>
            <w:r>
              <w:rPr>
                <w:rFonts w:hint="default" w:ascii="Times New Roman" w:hAnsi="Times New Roman" w:eastAsia="仿宋_GB2312" w:cs="Times New Roman"/>
                <w:kern w:val="0"/>
                <w:szCs w:val="21"/>
              </w:rPr>
              <w:t>出具已获取信息</w:t>
            </w:r>
          </w:p>
        </w:tc>
        <w:tc>
          <w:tcPr>
            <w:tcW w:w="829"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restart"/>
            <w:shd w:val="clear" w:color="auto" w:fill="auto"/>
            <w:tcMar>
              <w:left w:w="108" w:type="dxa"/>
              <w:right w:w="108" w:type="dxa"/>
            </w:tcMar>
            <w:vAlign w:val="center"/>
          </w:tcPr>
          <w:p>
            <w:pPr>
              <w:widowControl/>
              <w:spacing w:line="300" w:lineRule="exact"/>
              <w:rPr>
                <w:rFonts w:hint="default" w:ascii="Times New Roman" w:hAnsi="Times New Roman" w:eastAsia="黑体" w:cs="Times New Roman"/>
                <w:kern w:val="0"/>
                <w:szCs w:val="21"/>
              </w:rPr>
            </w:pPr>
            <w:r>
              <w:rPr>
                <w:rFonts w:hint="default" w:ascii="Times New Roman" w:hAnsi="Times New Roman" w:eastAsia="黑体" w:cs="Times New Roman"/>
                <w:kern w:val="0"/>
                <w:szCs w:val="21"/>
              </w:rPr>
              <w:t>（六）其他处理</w:t>
            </w:r>
          </w:p>
        </w:tc>
        <w:tc>
          <w:tcPr>
            <w:tcW w:w="297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Times New Roman" w:hAnsi="Times New Roman" w:eastAsia="仿宋_GB2312" w:cs="Times New Roman"/>
              </w:rPr>
            </w:pPr>
            <w:r>
              <w:rPr>
                <w:rFonts w:hint="default" w:ascii="Times New Roman" w:hAnsi="Times New Roman" w:eastAsia="仿宋_GB2312" w:cs="Times New Roman"/>
              </w:rPr>
              <w:t>1.申请人无正当理由逾期不补正、行政机关不再处理其政府信息公开申请</w:t>
            </w:r>
          </w:p>
        </w:tc>
        <w:tc>
          <w:tcPr>
            <w:tcW w:w="829"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widowControl/>
              <w:spacing w:line="300" w:lineRule="exact"/>
              <w:rPr>
                <w:rFonts w:hint="default" w:ascii="Times New Roman" w:hAnsi="Times New Roman" w:eastAsia="黑体" w:cs="Times New Roman"/>
                <w:kern w:val="0"/>
                <w:szCs w:val="21"/>
              </w:rPr>
            </w:pPr>
          </w:p>
        </w:tc>
        <w:tc>
          <w:tcPr>
            <w:tcW w:w="297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Times New Roman" w:hAnsi="Times New Roman" w:eastAsia="仿宋_GB2312" w:cs="Times New Roman"/>
                <w:kern w:val="0"/>
                <w:szCs w:val="21"/>
              </w:rPr>
            </w:pPr>
            <w:r>
              <w:rPr>
                <w:rFonts w:hint="default" w:ascii="Times New Roman" w:hAnsi="Times New Roman" w:eastAsia="仿宋_GB2312" w:cs="Times New Roman"/>
              </w:rPr>
              <w:t>2.申请人逾期未按收费通知要求缴纳费用、行政机关不再处理其政府信息公开申请</w:t>
            </w:r>
          </w:p>
        </w:tc>
        <w:tc>
          <w:tcPr>
            <w:tcW w:w="829"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widowControl/>
              <w:spacing w:line="300" w:lineRule="exact"/>
              <w:rPr>
                <w:rFonts w:hint="default" w:ascii="Times New Roman" w:hAnsi="Times New Roman" w:eastAsia="黑体" w:cs="Times New Roman"/>
                <w:kern w:val="0"/>
                <w:szCs w:val="21"/>
              </w:rPr>
            </w:pPr>
          </w:p>
        </w:tc>
        <w:tc>
          <w:tcPr>
            <w:tcW w:w="297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Times New Roman" w:hAnsi="Times New Roman" w:eastAsia="仿宋_GB2312" w:cs="Times New Roman"/>
                <w:kern w:val="0"/>
                <w:szCs w:val="21"/>
              </w:rPr>
            </w:pPr>
            <w:r>
              <w:rPr>
                <w:rFonts w:hint="default" w:ascii="Times New Roman" w:hAnsi="Times New Roman" w:eastAsia="仿宋_GB2312" w:cs="Times New Roman"/>
              </w:rPr>
              <w:t>3.其他</w:t>
            </w:r>
          </w:p>
        </w:tc>
        <w:tc>
          <w:tcPr>
            <w:tcW w:w="829"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4677" w:type="dxa"/>
            <w:gridSpan w:val="2"/>
            <w:shd w:val="clear" w:color="auto" w:fill="auto"/>
            <w:tcMar>
              <w:left w:w="108" w:type="dxa"/>
              <w:right w:w="108" w:type="dxa"/>
            </w:tcMar>
            <w:vAlign w:val="center"/>
          </w:tcPr>
          <w:p>
            <w:pPr>
              <w:widowControl/>
              <w:spacing w:line="300" w:lineRule="exact"/>
              <w:rPr>
                <w:rFonts w:hint="default" w:ascii="Times New Roman" w:hAnsi="Times New Roman" w:eastAsia="黑体" w:cs="Times New Roman"/>
                <w:kern w:val="0"/>
                <w:szCs w:val="21"/>
              </w:rPr>
            </w:pPr>
            <w:r>
              <w:rPr>
                <w:rFonts w:hint="default" w:ascii="Times New Roman" w:hAnsi="Times New Roman" w:eastAsia="黑体" w:cs="Times New Roman"/>
                <w:kern w:val="0"/>
                <w:szCs w:val="21"/>
              </w:rPr>
              <w:t>（七）总计</w:t>
            </w:r>
          </w:p>
        </w:tc>
        <w:tc>
          <w:tcPr>
            <w:tcW w:w="829"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1</w:t>
            </w:r>
          </w:p>
        </w:tc>
        <w:tc>
          <w:tcPr>
            <w:tcW w:w="567"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93" w:type="dxa"/>
            <w:gridSpan w:val="3"/>
            <w:shd w:val="clear" w:color="auto" w:fill="auto"/>
            <w:tcMar>
              <w:left w:w="108" w:type="dxa"/>
              <w:right w:w="108" w:type="dxa"/>
            </w:tcMar>
            <w:vAlign w:val="center"/>
          </w:tcPr>
          <w:p>
            <w:pPr>
              <w:widowControl/>
              <w:spacing w:line="300" w:lineRule="exact"/>
              <w:rPr>
                <w:rFonts w:hint="default" w:ascii="Times New Roman" w:hAnsi="Times New Roman" w:eastAsia="黑体" w:cs="Times New Roman"/>
                <w:kern w:val="0"/>
                <w:szCs w:val="21"/>
              </w:rPr>
            </w:pPr>
            <w:r>
              <w:rPr>
                <w:rFonts w:hint="default" w:ascii="Times New Roman" w:hAnsi="Times New Roman" w:eastAsia="黑体" w:cs="Times New Roman"/>
                <w:kern w:val="0"/>
                <w:szCs w:val="21"/>
              </w:rPr>
              <w:t>四、结转下年度继续办理</w:t>
            </w:r>
          </w:p>
        </w:tc>
        <w:tc>
          <w:tcPr>
            <w:tcW w:w="829"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r>
    </w:tbl>
    <w:p>
      <w:pPr>
        <w:pStyle w:val="2"/>
        <w:spacing w:before="0" w:beforeAutospacing="0" w:after="0" w:afterAutospacing="0" w:line="600" w:lineRule="exact"/>
        <w:ind w:firstLine="640" w:firstLineChars="200"/>
        <w:jc w:val="both"/>
        <w:rPr>
          <w:rFonts w:ascii="Times New Roman" w:hAnsi="Times New Roman"/>
          <w:color w:val="auto"/>
        </w:rPr>
      </w:pPr>
      <w:r>
        <w:rPr>
          <w:rFonts w:ascii="黑体" w:hAnsi="黑体" w:eastAsia="黑体"/>
          <w:color w:val="auto"/>
          <w:sz w:val="32"/>
          <w:szCs w:val="32"/>
        </w:rPr>
        <w:t>四、政府信息公开行政复议、行政诉讼情况</w:t>
      </w:r>
    </w:p>
    <w:tbl>
      <w:tblPr>
        <w:tblStyle w:val="3"/>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color w:val="auto"/>
              </w:rPr>
            </w:pPr>
            <w:r>
              <w:rPr>
                <w:rFonts w:ascii="黑体" w:hAnsi="黑体" w:eastAsia="黑体"/>
                <w:color w:val="auto"/>
                <w:kern w:val="0"/>
                <w:sz w:val="20"/>
                <w:szCs w:val="20"/>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color w:val="auto"/>
              </w:rPr>
            </w:pPr>
            <w:r>
              <w:rPr>
                <w:rFonts w:ascii="黑体" w:hAnsi="黑体" w:eastAsia="黑体"/>
                <w:color w:val="auto"/>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ind w:left="-149" w:leftChars="-71" w:right="-170" w:rightChars="-81"/>
              <w:jc w:val="center"/>
              <w:rPr>
                <w:rFonts w:ascii="黑体" w:hAnsi="黑体" w:eastAsia="黑体"/>
                <w:color w:val="auto"/>
                <w:kern w:val="0"/>
                <w:sz w:val="20"/>
                <w:szCs w:val="20"/>
              </w:rPr>
            </w:pPr>
            <w:r>
              <w:rPr>
                <w:rFonts w:ascii="黑体" w:hAnsi="黑体" w:eastAsia="黑体"/>
                <w:color w:val="auto"/>
                <w:kern w:val="0"/>
                <w:sz w:val="20"/>
                <w:szCs w:val="20"/>
              </w:rPr>
              <w:t>结果</w:t>
            </w:r>
          </w:p>
          <w:p>
            <w:pPr>
              <w:widowControl/>
              <w:ind w:left="-149" w:leftChars="-71" w:right="-170" w:rightChars="-81"/>
              <w:jc w:val="center"/>
              <w:rPr>
                <w:rFonts w:ascii="黑体" w:hAnsi="黑体" w:eastAsia="黑体"/>
                <w:color w:val="auto"/>
              </w:rPr>
            </w:pPr>
            <w:r>
              <w:rPr>
                <w:rFonts w:ascii="黑体" w:hAnsi="黑体" w:eastAsia="黑体"/>
                <w:color w:val="auto"/>
                <w:kern w:val="0"/>
                <w:sz w:val="20"/>
                <w:szCs w:val="20"/>
              </w:rPr>
              <w:t>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43" w:leftChars="-21" w:right="-132" w:rightChars="-63" w:hanging="1"/>
              <w:jc w:val="center"/>
              <w:rPr>
                <w:rFonts w:ascii="黑体" w:hAnsi="黑体" w:eastAsia="黑体"/>
                <w:color w:val="auto"/>
              </w:rPr>
            </w:pPr>
            <w:r>
              <w:rPr>
                <w:rFonts w:ascii="黑体" w:hAnsi="黑体" w:eastAsia="黑体"/>
                <w:color w:val="auto"/>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82" w:leftChars="-39" w:right="-97" w:rightChars="-46"/>
              <w:jc w:val="center"/>
              <w:rPr>
                <w:rFonts w:ascii="黑体" w:hAnsi="黑体" w:eastAsia="黑体"/>
                <w:color w:val="auto"/>
              </w:rPr>
            </w:pPr>
            <w:r>
              <w:rPr>
                <w:rFonts w:ascii="黑体" w:hAnsi="黑体" w:eastAsia="黑体"/>
                <w:color w:val="auto"/>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18" w:leftChars="-56" w:right="-118" w:rightChars="-56"/>
              <w:jc w:val="center"/>
              <w:rPr>
                <w:rFonts w:ascii="黑体" w:hAnsi="黑体" w:eastAsia="黑体"/>
                <w:color w:val="auto"/>
                <w:kern w:val="0"/>
                <w:sz w:val="20"/>
                <w:szCs w:val="20"/>
              </w:rPr>
            </w:pPr>
            <w:r>
              <w:rPr>
                <w:rFonts w:ascii="黑体" w:hAnsi="黑体" w:eastAsia="黑体"/>
                <w:color w:val="auto"/>
                <w:kern w:val="0"/>
                <w:sz w:val="20"/>
                <w:szCs w:val="20"/>
              </w:rPr>
              <w:t>尚未</w:t>
            </w:r>
          </w:p>
          <w:p>
            <w:pPr>
              <w:widowControl/>
              <w:ind w:left="-118" w:leftChars="-56" w:right="-118" w:rightChars="-56"/>
              <w:jc w:val="center"/>
              <w:rPr>
                <w:rFonts w:ascii="黑体" w:hAnsi="黑体" w:eastAsia="黑体"/>
                <w:color w:val="auto"/>
              </w:rPr>
            </w:pPr>
            <w:r>
              <w:rPr>
                <w:rFonts w:ascii="黑体" w:hAnsi="黑体" w:eastAsia="黑体"/>
                <w:color w:val="auto"/>
                <w:kern w:val="0"/>
                <w:sz w:val="20"/>
                <w:szCs w:val="20"/>
              </w:rPr>
              <w:t>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20" w:lineRule="exact"/>
              <w:jc w:val="center"/>
              <w:rPr>
                <w:rFonts w:ascii="黑体" w:hAnsi="黑体" w:eastAsia="黑体"/>
                <w:color w:val="auto"/>
                <w:kern w:val="0"/>
                <w:sz w:val="20"/>
                <w:szCs w:val="20"/>
              </w:rPr>
            </w:pPr>
            <w:r>
              <w:rPr>
                <w:rFonts w:ascii="黑体" w:hAnsi="黑体" w:eastAsia="黑体"/>
                <w:color w:val="auto"/>
                <w:kern w:val="0"/>
                <w:sz w:val="20"/>
                <w:szCs w:val="20"/>
              </w:rPr>
              <w:t>总</w:t>
            </w:r>
          </w:p>
          <w:p>
            <w:pPr>
              <w:widowControl/>
              <w:spacing w:line="320" w:lineRule="exact"/>
              <w:jc w:val="center"/>
              <w:rPr>
                <w:rFonts w:ascii="黑体" w:hAnsi="黑体" w:eastAsia="黑体"/>
                <w:color w:val="auto"/>
              </w:rPr>
            </w:pPr>
            <w:r>
              <w:rPr>
                <w:rFonts w:ascii="黑体" w:hAnsi="黑体" w:eastAsia="黑体"/>
                <w:color w:val="auto"/>
                <w:kern w:val="0"/>
                <w:sz w:val="20"/>
                <w:szCs w:val="20"/>
              </w:rPr>
              <w:t>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color w:val="auto"/>
              </w:rPr>
            </w:pPr>
            <w:r>
              <w:rPr>
                <w:rFonts w:ascii="黑体" w:hAnsi="黑体" w:eastAsia="黑体"/>
                <w:color w:val="auto"/>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color w:val="auto"/>
              </w:rPr>
            </w:pPr>
            <w:bookmarkStart w:id="5" w:name="_Hlk67039688"/>
            <w:r>
              <w:rPr>
                <w:rFonts w:ascii="黑体" w:hAnsi="黑体" w:eastAsia="黑体"/>
                <w:color w:val="auto"/>
                <w:kern w:val="0"/>
                <w:sz w:val="20"/>
                <w:szCs w:val="20"/>
              </w:rPr>
              <w:t>复议后起诉</w:t>
            </w:r>
            <w:bookmarkEnd w:id="5"/>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黑体" w:hAnsi="黑体" w:eastAsia="黑体"/>
                <w:color w:val="auto"/>
                <w:sz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color w:val="auto"/>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color w:val="auto"/>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color w:val="auto"/>
                <w:sz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color w:val="auto"/>
                <w:sz w:val="24"/>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105" w:leftChars="-50" w:right="-126" w:rightChars="-60"/>
              <w:jc w:val="center"/>
              <w:rPr>
                <w:rFonts w:ascii="黑体" w:hAnsi="黑体" w:eastAsia="黑体"/>
                <w:color w:val="auto"/>
              </w:rPr>
            </w:pPr>
            <w:r>
              <w:rPr>
                <w:rFonts w:ascii="黑体" w:hAnsi="黑体" w:eastAsia="黑体"/>
                <w:color w:val="auto"/>
                <w:kern w:val="0"/>
                <w:sz w:val="20"/>
                <w:szCs w:val="20"/>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86" w:leftChars="-41" w:right="-88" w:rightChars="-42"/>
              <w:jc w:val="center"/>
              <w:rPr>
                <w:rFonts w:ascii="黑体" w:hAnsi="黑体" w:eastAsia="黑体"/>
                <w:color w:val="auto"/>
              </w:rPr>
            </w:pPr>
            <w:r>
              <w:rPr>
                <w:rFonts w:ascii="黑体" w:hAnsi="黑体" w:eastAsia="黑体"/>
                <w:color w:val="auto"/>
                <w:kern w:val="0"/>
                <w:sz w:val="20"/>
                <w:szCs w:val="20"/>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26" w:leftChars="-60" w:right="-136" w:rightChars="-65"/>
              <w:jc w:val="center"/>
              <w:rPr>
                <w:rFonts w:ascii="黑体" w:hAnsi="黑体" w:eastAsia="黑体"/>
                <w:color w:val="auto"/>
                <w:kern w:val="0"/>
                <w:sz w:val="20"/>
                <w:szCs w:val="20"/>
              </w:rPr>
            </w:pPr>
            <w:r>
              <w:rPr>
                <w:rFonts w:ascii="黑体" w:hAnsi="黑体" w:eastAsia="黑体"/>
                <w:color w:val="auto"/>
                <w:kern w:val="0"/>
                <w:sz w:val="20"/>
                <w:szCs w:val="20"/>
              </w:rPr>
              <w:t>其他</w:t>
            </w:r>
          </w:p>
          <w:p>
            <w:pPr>
              <w:widowControl/>
              <w:ind w:left="-126" w:leftChars="-60" w:right="-136" w:rightChars="-65"/>
              <w:jc w:val="center"/>
              <w:rPr>
                <w:rFonts w:ascii="黑体" w:hAnsi="黑体" w:eastAsia="黑体"/>
                <w:color w:val="auto"/>
              </w:rPr>
            </w:pPr>
            <w:r>
              <w:rPr>
                <w:rFonts w:ascii="黑体" w:hAnsi="黑体" w:eastAsia="黑体"/>
                <w:color w:val="auto"/>
                <w:kern w:val="0"/>
                <w:sz w:val="20"/>
                <w:szCs w:val="20"/>
              </w:rPr>
              <w:t>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64" w:leftChars="-78" w:right="-153" w:rightChars="-73"/>
              <w:jc w:val="center"/>
              <w:rPr>
                <w:rFonts w:ascii="黑体" w:hAnsi="黑体" w:eastAsia="黑体"/>
                <w:color w:val="auto"/>
                <w:kern w:val="0"/>
                <w:sz w:val="20"/>
                <w:szCs w:val="20"/>
              </w:rPr>
            </w:pPr>
            <w:r>
              <w:rPr>
                <w:rFonts w:ascii="黑体" w:hAnsi="黑体" w:eastAsia="黑体"/>
                <w:color w:val="auto"/>
                <w:kern w:val="0"/>
                <w:sz w:val="20"/>
                <w:szCs w:val="20"/>
              </w:rPr>
              <w:t>尚未</w:t>
            </w:r>
          </w:p>
          <w:p>
            <w:pPr>
              <w:widowControl/>
              <w:ind w:left="-164" w:leftChars="-78" w:right="-153" w:rightChars="-73"/>
              <w:jc w:val="center"/>
              <w:rPr>
                <w:rFonts w:ascii="黑体" w:hAnsi="黑体" w:eastAsia="黑体"/>
                <w:color w:val="auto"/>
              </w:rPr>
            </w:pPr>
            <w:r>
              <w:rPr>
                <w:rFonts w:ascii="黑体" w:hAnsi="黑体" w:eastAsia="黑体"/>
                <w:color w:val="auto"/>
                <w:kern w:val="0"/>
                <w:sz w:val="20"/>
                <w:szCs w:val="20"/>
              </w:rPr>
              <w:t>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color w:val="auto"/>
              </w:rPr>
            </w:pPr>
            <w:r>
              <w:rPr>
                <w:rFonts w:ascii="黑体" w:hAnsi="黑体" w:eastAsia="黑体"/>
                <w:color w:val="auto"/>
                <w:kern w:val="0"/>
                <w:sz w:val="20"/>
                <w:szCs w:val="20"/>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99" w:leftChars="-47" w:right="-78" w:rightChars="-37"/>
              <w:jc w:val="center"/>
              <w:rPr>
                <w:rFonts w:ascii="黑体" w:hAnsi="黑体" w:eastAsia="黑体"/>
                <w:color w:val="auto"/>
              </w:rPr>
            </w:pPr>
            <w:r>
              <w:rPr>
                <w:rFonts w:ascii="黑体" w:hAnsi="黑体" w:eastAsia="黑体"/>
                <w:color w:val="auto"/>
                <w:kern w:val="0"/>
                <w:sz w:val="20"/>
                <w:szCs w:val="20"/>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36" w:leftChars="-65" w:right="-124" w:rightChars="-59"/>
              <w:jc w:val="center"/>
              <w:rPr>
                <w:rFonts w:ascii="黑体" w:hAnsi="黑体" w:eastAsia="黑体"/>
                <w:color w:val="auto"/>
                <w:kern w:val="0"/>
                <w:sz w:val="20"/>
                <w:szCs w:val="20"/>
              </w:rPr>
            </w:pPr>
            <w:r>
              <w:rPr>
                <w:rFonts w:ascii="黑体" w:hAnsi="黑体" w:eastAsia="黑体"/>
                <w:color w:val="auto"/>
                <w:kern w:val="0"/>
                <w:sz w:val="20"/>
                <w:szCs w:val="20"/>
              </w:rPr>
              <w:t>结果</w:t>
            </w:r>
          </w:p>
          <w:p>
            <w:pPr>
              <w:widowControl/>
              <w:ind w:left="-136" w:leftChars="-65" w:right="-124" w:rightChars="-59"/>
              <w:jc w:val="center"/>
              <w:rPr>
                <w:rFonts w:ascii="黑体" w:hAnsi="黑体" w:eastAsia="黑体"/>
                <w:color w:val="auto"/>
              </w:rPr>
            </w:pPr>
            <w:r>
              <w:rPr>
                <w:rFonts w:ascii="黑体" w:hAnsi="黑体" w:eastAsia="黑体"/>
                <w:color w:val="auto"/>
                <w:kern w:val="0"/>
                <w:sz w:val="20"/>
                <w:szCs w:val="20"/>
              </w:rPr>
              <w:t>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73" w:leftChars="-83" w:right="-134" w:rightChars="-64" w:hanging="1"/>
              <w:jc w:val="center"/>
              <w:rPr>
                <w:rFonts w:ascii="黑体" w:hAnsi="黑体" w:eastAsia="黑体"/>
                <w:color w:val="auto"/>
                <w:kern w:val="0"/>
                <w:sz w:val="20"/>
                <w:szCs w:val="20"/>
              </w:rPr>
            </w:pPr>
            <w:r>
              <w:rPr>
                <w:rFonts w:ascii="黑体" w:hAnsi="黑体" w:eastAsia="黑体"/>
                <w:color w:val="auto"/>
                <w:kern w:val="0"/>
                <w:sz w:val="20"/>
                <w:szCs w:val="20"/>
              </w:rPr>
              <w:t>其他</w:t>
            </w:r>
          </w:p>
          <w:p>
            <w:pPr>
              <w:widowControl/>
              <w:ind w:left="-173" w:leftChars="-83" w:right="-134" w:rightChars="-64" w:hanging="1"/>
              <w:jc w:val="center"/>
              <w:rPr>
                <w:rFonts w:ascii="黑体" w:hAnsi="黑体" w:eastAsia="黑体"/>
                <w:color w:val="auto"/>
              </w:rPr>
            </w:pPr>
            <w:r>
              <w:rPr>
                <w:rFonts w:ascii="黑体" w:hAnsi="黑体" w:eastAsia="黑体"/>
                <w:color w:val="auto"/>
                <w:kern w:val="0"/>
                <w:sz w:val="20"/>
                <w:szCs w:val="20"/>
              </w:rPr>
              <w:t>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67" w:leftChars="-33" w:right="-105" w:rightChars="-50" w:hanging="2" w:hangingChars="1"/>
              <w:jc w:val="center"/>
              <w:rPr>
                <w:rFonts w:ascii="黑体" w:hAnsi="黑体" w:eastAsia="黑体"/>
                <w:color w:val="auto"/>
              </w:rPr>
            </w:pPr>
            <w:r>
              <w:rPr>
                <w:rFonts w:ascii="黑体" w:hAnsi="黑体" w:eastAsia="黑体"/>
                <w:color w:val="auto"/>
                <w:kern w:val="0"/>
                <w:sz w:val="20"/>
                <w:szCs w:val="20"/>
              </w:rPr>
              <w:t>尚未审结</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color w:val="auto"/>
              </w:rPr>
            </w:pPr>
            <w:r>
              <w:rPr>
                <w:rFonts w:ascii="黑体" w:hAnsi="黑体" w:eastAsia="黑体"/>
                <w:color w:val="auto"/>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color w:val="auto"/>
                <w:lang w:val="en-US" w:eastAsia="zh-CN"/>
              </w:rPr>
            </w:pPr>
            <w:r>
              <w:rPr>
                <w:rFonts w:hint="eastAsia" w:ascii="Times New Roman" w:hAnsi="Times New Roman"/>
                <w:color w:val="auto"/>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color w:val="auto"/>
                <w:lang w:val="en-US" w:eastAsia="zh-CN"/>
              </w:rPr>
            </w:pPr>
            <w:r>
              <w:rPr>
                <w:rFonts w:hint="eastAsia" w:ascii="Times New Roman" w:hAnsi="Times New Roman"/>
                <w:color w:val="auto"/>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color w:val="auto"/>
                <w:lang w:val="en-US" w:eastAsia="zh-CN"/>
              </w:rPr>
            </w:pPr>
            <w:r>
              <w:rPr>
                <w:rFonts w:hint="eastAsia" w:ascii="Times New Roman" w:hAnsi="Times New Roman"/>
                <w:color w:val="auto"/>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color w:val="auto"/>
                <w:lang w:val="en-US" w:eastAsia="zh-CN"/>
              </w:rPr>
            </w:pPr>
            <w:r>
              <w:rPr>
                <w:rFonts w:hint="eastAsia" w:ascii="Times New Roman" w:hAnsi="Times New Roman"/>
                <w:color w:val="auto"/>
                <w:lang w:val="en-US" w:eastAsia="zh-CN"/>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color w:val="auto"/>
                <w:lang w:val="en-US" w:eastAsia="zh-CN"/>
              </w:rPr>
            </w:pPr>
            <w:r>
              <w:rPr>
                <w:rFonts w:hint="eastAsia" w:ascii="Times New Roman" w:hAnsi="Times New Roman"/>
                <w:color w:val="auto"/>
                <w:lang w:val="en-US" w:eastAsia="zh-CN"/>
              </w:rPr>
              <w:t>0</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color w:val="auto"/>
                <w:lang w:val="en-US" w:eastAsia="zh-CN"/>
              </w:rPr>
            </w:pPr>
            <w:r>
              <w:rPr>
                <w:rFonts w:hint="eastAsia" w:ascii="Times New Roman" w:hAnsi="Times New Roman"/>
                <w:color w:val="auto"/>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color w:val="auto"/>
                <w:lang w:val="en-US" w:eastAsia="zh-CN"/>
              </w:rPr>
            </w:pPr>
            <w:r>
              <w:rPr>
                <w:rFonts w:hint="eastAsia" w:ascii="Times New Roman" w:hAnsi="Times New Roman"/>
                <w:color w:val="auto"/>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color w:val="auto"/>
                <w:lang w:val="en-US" w:eastAsia="zh-CN"/>
              </w:rPr>
            </w:pPr>
            <w:r>
              <w:rPr>
                <w:rFonts w:hint="eastAsia" w:ascii="Times New Roman" w:hAnsi="Times New Roman"/>
                <w:color w:val="auto"/>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color w:val="auto"/>
                <w:lang w:val="en-US" w:eastAsia="zh-CN"/>
              </w:rPr>
            </w:pPr>
            <w:r>
              <w:rPr>
                <w:rFonts w:hint="eastAsia" w:ascii="Times New Roman" w:hAnsi="Times New Roman"/>
                <w:color w:val="auto"/>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color w:val="auto"/>
                <w:lang w:val="en-US" w:eastAsia="zh-CN"/>
              </w:rPr>
            </w:pPr>
            <w:r>
              <w:rPr>
                <w:rFonts w:hint="eastAsia" w:ascii="Times New Roman" w:hAnsi="Times New Roman"/>
                <w:color w:val="auto"/>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rPr>
                <w:rFonts w:hint="eastAsia" w:ascii="Times New Roman" w:hAnsi="Times New Roman" w:eastAsiaTheme="minorEastAsia"/>
                <w:color w:val="auto"/>
                <w:lang w:val="en-US" w:eastAsia="zh-CN"/>
              </w:rPr>
            </w:pPr>
            <w:r>
              <w:rPr>
                <w:rFonts w:hint="eastAsia" w:ascii="Times New Roman" w:hAnsi="Times New Roman"/>
                <w:color w:val="auto"/>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color w:val="auto"/>
                <w:lang w:val="en-US" w:eastAsia="zh-CN"/>
              </w:rPr>
            </w:pPr>
            <w:r>
              <w:rPr>
                <w:rFonts w:hint="eastAsia" w:ascii="Times New Roman" w:hAnsi="Times New Roman"/>
                <w:color w:val="auto"/>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color w:val="auto"/>
                <w:lang w:val="en-US" w:eastAsia="zh-CN"/>
              </w:rPr>
            </w:pPr>
            <w:r>
              <w:rPr>
                <w:rFonts w:hint="eastAsia" w:ascii="Times New Roman" w:hAnsi="Times New Roman"/>
                <w:color w:val="auto"/>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color w:val="auto"/>
                <w:lang w:val="en-US" w:eastAsia="zh-CN"/>
              </w:rPr>
            </w:pPr>
            <w:r>
              <w:rPr>
                <w:rFonts w:hint="eastAsia" w:ascii="Times New Roman" w:hAnsi="Times New Roman"/>
                <w:color w:val="auto"/>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color w:val="auto"/>
                <w:lang w:val="en-US" w:eastAsia="zh-CN"/>
              </w:rPr>
            </w:pPr>
            <w:r>
              <w:rPr>
                <w:rFonts w:hint="eastAsia" w:ascii="Times New Roman" w:hAnsi="Times New Roman"/>
                <w:color w:val="auto"/>
                <w:lang w:val="en-US" w:eastAsia="zh-CN"/>
              </w:rPr>
              <w:t>0</w:t>
            </w:r>
          </w:p>
        </w:tc>
      </w:tr>
    </w:tbl>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320" w:firstLineChars="100"/>
        <w:jc w:val="both"/>
        <w:textAlignment w:val="auto"/>
        <w:rPr>
          <w:rFonts w:hint="eastAsia" w:ascii="黑体" w:hAnsi="黑体" w:eastAsia="黑体" w:cs="黑体"/>
          <w:i w:val="0"/>
          <w:iCs w:val="0"/>
          <w:caps w:val="0"/>
          <w:color w:val="000000"/>
          <w:spacing w:val="0"/>
          <w:sz w:val="32"/>
          <w:szCs w:val="32"/>
          <w:lang w:eastAsia="zh-CN"/>
        </w:rPr>
      </w:pPr>
      <w:r>
        <w:rPr>
          <w:rFonts w:hint="eastAsia" w:ascii="黑体" w:hAnsi="黑体" w:eastAsia="黑体" w:cs="黑体"/>
          <w:i w:val="0"/>
          <w:iCs w:val="0"/>
          <w:caps w:val="0"/>
          <w:color w:val="000000"/>
          <w:spacing w:val="0"/>
          <w:sz w:val="32"/>
          <w:szCs w:val="32"/>
          <w:lang w:eastAsia="zh-CN"/>
        </w:rPr>
        <w:t>五、</w:t>
      </w:r>
      <w:r>
        <w:rPr>
          <w:rFonts w:hint="eastAsia" w:ascii="黑体" w:hAnsi="黑体" w:eastAsia="黑体" w:cs="黑体"/>
          <w:i w:val="0"/>
          <w:iCs w:val="0"/>
          <w:caps w:val="0"/>
          <w:color w:val="000000"/>
          <w:spacing w:val="0"/>
          <w:sz w:val="32"/>
          <w:szCs w:val="32"/>
        </w:rPr>
        <w:t>存在的主要问题及改进情况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000000"/>
          <w:spacing w:val="0"/>
          <w:sz w:val="32"/>
          <w:szCs w:val="32"/>
          <w:lang w:eastAsia="zh-CN"/>
        </w:rPr>
      </w:pPr>
      <w:r>
        <w:rPr>
          <w:rFonts w:hint="eastAsia" w:ascii="仿宋_GB2312" w:hAnsi="仿宋_GB2312" w:eastAsia="仿宋_GB2312" w:cs="仿宋_GB2312"/>
          <w:i w:val="0"/>
          <w:iCs w:val="0"/>
          <w:caps w:val="0"/>
          <w:color w:val="000000"/>
          <w:spacing w:val="0"/>
          <w:sz w:val="32"/>
          <w:szCs w:val="32"/>
        </w:rPr>
        <w:t>2022年，在局领导的高度重视和全局各科室的通力协作下,我局政府信息公开工作扎实有序开展，</w:t>
      </w:r>
      <w:r>
        <w:rPr>
          <w:rFonts w:hint="eastAsia" w:ascii="仿宋_GB2312" w:hAnsi="仿宋_GB2312" w:eastAsia="仿宋_GB2312" w:cs="仿宋_GB2312"/>
          <w:i w:val="0"/>
          <w:iCs w:val="0"/>
          <w:caps w:val="0"/>
          <w:color w:val="000000"/>
          <w:spacing w:val="0"/>
          <w:sz w:val="32"/>
          <w:szCs w:val="32"/>
          <w:lang w:eastAsia="zh-CN"/>
        </w:rPr>
        <w:t>取得了长足进步，</w:t>
      </w:r>
      <w:r>
        <w:rPr>
          <w:rFonts w:hint="eastAsia" w:ascii="仿宋_GB2312" w:hAnsi="仿宋_GB2312" w:eastAsia="仿宋_GB2312" w:cs="仿宋_GB2312"/>
          <w:i w:val="0"/>
          <w:iCs w:val="0"/>
          <w:caps w:val="0"/>
          <w:color w:val="000000"/>
          <w:spacing w:val="0"/>
          <w:sz w:val="32"/>
          <w:szCs w:val="32"/>
        </w:rPr>
        <w:t>但是但工作中还存</w:t>
      </w:r>
      <w:r>
        <w:rPr>
          <w:rFonts w:hint="eastAsia" w:ascii="仿宋_GB2312" w:hAnsi="仿宋_GB2312" w:eastAsia="仿宋_GB2312" w:cs="仿宋_GB2312"/>
          <w:i w:val="0"/>
          <w:iCs w:val="0"/>
          <w:caps w:val="0"/>
          <w:color w:val="000000"/>
          <w:spacing w:val="0"/>
          <w:sz w:val="32"/>
          <w:szCs w:val="32"/>
          <w:lang w:eastAsia="zh-CN"/>
        </w:rPr>
        <w:t>在不足。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06"/>
        <w:jc w:val="left"/>
        <w:rPr>
          <w:rFonts w:hint="eastAsia" w:ascii="仿宋_GB2312" w:hAnsi="仿宋_GB2312" w:eastAsia="仿宋_GB2312" w:cs="仿宋_GB2312"/>
          <w:b/>
          <w:bCs/>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sz w:val="32"/>
          <w:szCs w:val="32"/>
          <w:lang w:eastAsia="zh-CN"/>
        </w:rPr>
        <w:t>一</w:t>
      </w:r>
      <w:r>
        <w:rPr>
          <w:rFonts w:hint="eastAsia" w:ascii="仿宋_GB2312" w:hAnsi="仿宋_GB2312" w:eastAsia="仿宋_GB2312" w:cs="仿宋_GB2312"/>
          <w:i w:val="0"/>
          <w:iCs w:val="0"/>
          <w:caps w:val="0"/>
          <w:color w:val="000000"/>
          <w:spacing w:val="0"/>
          <w:sz w:val="32"/>
          <w:szCs w:val="32"/>
        </w:rPr>
        <w:t>是部分科室对信息公开工作重视不够，信息公开不够及时，且政务公开内容不够规范、质量不高</w:t>
      </w:r>
      <w:r>
        <w:rPr>
          <w:rFonts w:hint="eastAsia" w:ascii="仿宋_GB2312" w:hAnsi="仿宋_GB2312" w:eastAsia="仿宋_GB2312" w:cs="仿宋_GB2312"/>
          <w:i w:val="0"/>
          <w:iCs w:val="0"/>
          <w:caps w:val="0"/>
          <w:color w:val="000000"/>
          <w:spacing w:val="0"/>
          <w:sz w:val="32"/>
          <w:szCs w:val="32"/>
          <w:lang w:eastAsia="zh-CN"/>
        </w:rPr>
        <w:t>；二</w:t>
      </w:r>
      <w:r>
        <w:rPr>
          <w:rFonts w:hint="eastAsia" w:ascii="仿宋_GB2312" w:hAnsi="仿宋_GB2312" w:eastAsia="仿宋_GB2312" w:cs="仿宋_GB2312"/>
          <w:i w:val="0"/>
          <w:iCs w:val="0"/>
          <w:caps w:val="0"/>
          <w:color w:val="000000"/>
          <w:spacing w:val="0"/>
          <w:sz w:val="32"/>
          <w:szCs w:val="32"/>
        </w:rPr>
        <w:t>是政府信息公开队伍建设有待提高，主动公开意识需进一步加强。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宋体" w:hAnsi="宋体" w:eastAsia="宋体" w:cs="宋体"/>
          <w:i w:val="0"/>
          <w:iCs w:val="0"/>
          <w:caps w:val="0"/>
          <w:color w:val="000000"/>
          <w:spacing w:val="0"/>
          <w:sz w:val="31"/>
          <w:szCs w:val="31"/>
        </w:rPr>
      </w:pPr>
      <w:r>
        <w:rPr>
          <w:rFonts w:hint="eastAsia" w:ascii="仿宋_GB2312" w:hAnsi="仿宋_GB2312" w:eastAsia="仿宋_GB2312" w:cs="仿宋_GB2312"/>
          <w:i w:val="0"/>
          <w:iCs w:val="0"/>
          <w:caps w:val="0"/>
          <w:color w:val="000000"/>
          <w:spacing w:val="0"/>
          <w:kern w:val="0"/>
          <w:sz w:val="32"/>
          <w:szCs w:val="32"/>
          <w:lang w:val="en-US" w:eastAsia="zh-CN" w:bidi="ar"/>
        </w:rPr>
        <w:t>下一步，</w:t>
      </w:r>
      <w:r>
        <w:rPr>
          <w:rFonts w:hint="eastAsia" w:ascii="仿宋_GB2312" w:hAnsi="仿宋_GB2312" w:eastAsia="仿宋_GB2312" w:cs="仿宋_GB2312"/>
          <w:i w:val="0"/>
          <w:iCs w:val="0"/>
          <w:caps w:val="0"/>
          <w:color w:val="000000"/>
          <w:spacing w:val="0"/>
          <w:sz w:val="32"/>
          <w:szCs w:val="32"/>
        </w:rPr>
        <w:t>我局将继续按照区委、区政府的要求，</w:t>
      </w:r>
      <w:r>
        <w:rPr>
          <w:rFonts w:hint="eastAsia" w:ascii="仿宋_GB2312" w:hAnsi="仿宋_GB2312" w:eastAsia="仿宋_GB2312" w:cs="仿宋_GB2312"/>
          <w:i w:val="0"/>
          <w:iCs w:val="0"/>
          <w:caps w:val="0"/>
          <w:color w:val="000000"/>
          <w:spacing w:val="0"/>
          <w:sz w:val="32"/>
          <w:szCs w:val="32"/>
          <w:lang w:eastAsia="zh-CN"/>
        </w:rPr>
        <w:t>完善</w:t>
      </w:r>
      <w:r>
        <w:rPr>
          <w:rFonts w:hint="eastAsia" w:ascii="仿宋_GB2312" w:hAnsi="仿宋_GB2312" w:eastAsia="仿宋_GB2312" w:cs="仿宋_GB2312"/>
          <w:i w:val="0"/>
          <w:iCs w:val="0"/>
          <w:caps w:val="0"/>
          <w:color w:val="000000"/>
          <w:spacing w:val="0"/>
          <w:sz w:val="32"/>
          <w:szCs w:val="32"/>
        </w:rPr>
        <w:t>健全信息公开机制</w:t>
      </w:r>
      <w:r>
        <w:rPr>
          <w:rFonts w:hint="eastAsia" w:ascii="仿宋_GB2312" w:hAnsi="仿宋_GB2312" w:eastAsia="仿宋_GB2312" w:cs="仿宋_GB2312"/>
          <w:i w:val="0"/>
          <w:iCs w:val="0"/>
          <w:caps w:val="0"/>
          <w:color w:val="000000"/>
          <w:spacing w:val="0"/>
          <w:sz w:val="32"/>
          <w:szCs w:val="32"/>
          <w:lang w:eastAsia="zh-CN"/>
        </w:rPr>
        <w:t>，</w:t>
      </w:r>
      <w:r>
        <w:rPr>
          <w:rFonts w:hint="eastAsia" w:ascii="仿宋_GB2312" w:hAnsi="仿宋_GB2312" w:eastAsia="仿宋_GB2312" w:cs="仿宋_GB2312"/>
          <w:i w:val="0"/>
          <w:iCs w:val="0"/>
          <w:caps w:val="0"/>
          <w:color w:val="000000"/>
          <w:spacing w:val="0"/>
          <w:sz w:val="32"/>
          <w:szCs w:val="32"/>
          <w:lang w:val="en-US" w:eastAsia="zh-CN"/>
        </w:rPr>
        <w:t>通过集中学习、参加培训等方式，</w:t>
      </w:r>
      <w:r>
        <w:rPr>
          <w:rFonts w:hint="eastAsia" w:ascii="仿宋_GB2312" w:hAnsi="仿宋_GB2312" w:eastAsia="仿宋_GB2312" w:cs="仿宋_GB2312"/>
          <w:i w:val="0"/>
          <w:iCs w:val="0"/>
          <w:caps w:val="0"/>
          <w:color w:val="000000"/>
          <w:spacing w:val="0"/>
          <w:sz w:val="32"/>
          <w:szCs w:val="32"/>
        </w:rPr>
        <w:t>提高全体工作人员的思想认识，增强政府信息公开工作的主动性和责任意识</w:t>
      </w:r>
      <w:r>
        <w:rPr>
          <w:rFonts w:hint="eastAsia" w:ascii="仿宋_GB2312" w:hAnsi="仿宋_GB2312" w:eastAsia="仿宋_GB2312" w:cs="仿宋_GB2312"/>
          <w:i w:val="0"/>
          <w:iCs w:val="0"/>
          <w:caps w:val="0"/>
          <w:color w:val="000000"/>
          <w:spacing w:val="0"/>
          <w:sz w:val="32"/>
          <w:szCs w:val="32"/>
          <w:lang w:eastAsia="zh-CN"/>
        </w:rPr>
        <w:t>。</w:t>
      </w:r>
      <w:r>
        <w:rPr>
          <w:rFonts w:hint="eastAsia" w:ascii="仿宋_GB2312" w:hAnsi="仿宋_GB2312" w:eastAsia="仿宋_GB2312" w:cs="仿宋_GB2312"/>
          <w:i w:val="0"/>
          <w:iCs w:val="0"/>
          <w:caps w:val="0"/>
          <w:color w:val="000000"/>
          <w:spacing w:val="0"/>
          <w:sz w:val="32"/>
          <w:szCs w:val="32"/>
        </w:rPr>
        <w:t>进一步准确把握政策要求，切实处理好公开与保密、主动公开与依申请公开、接收社会监督与提供信息服务等方面的关系，提高工作效能。及时更新相关信息，提高公开内容质量，充分利用门户网站、《政务公开看山东》专栏等载体开展宣传报道，推动全局政务公开工作深入开展。</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黑体" w:hAnsi="黑体" w:eastAsia="黑体" w:cs="黑体"/>
          <w:i w:val="0"/>
          <w:iCs w:val="0"/>
          <w:caps w:val="0"/>
          <w:color w:val="000000"/>
          <w:spacing w:val="0"/>
          <w:sz w:val="32"/>
          <w:szCs w:val="32"/>
        </w:rPr>
      </w:pPr>
      <w:r>
        <w:rPr>
          <w:rFonts w:hint="eastAsia" w:ascii="黑体" w:hAnsi="黑体" w:eastAsia="黑体" w:cs="黑体"/>
          <w:i w:val="0"/>
          <w:iCs w:val="0"/>
          <w:caps w:val="0"/>
          <w:color w:val="000000"/>
          <w:spacing w:val="0"/>
          <w:sz w:val="32"/>
          <w:szCs w:val="32"/>
        </w:rPr>
        <w:t>六、其他需要报告的事项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auto"/>
          <w:spacing w:val="0"/>
          <w:sz w:val="32"/>
          <w:szCs w:val="32"/>
        </w:rPr>
      </w:pPr>
      <w:bookmarkStart w:id="6" w:name="_GoBack"/>
      <w:r>
        <w:rPr>
          <w:rFonts w:hint="eastAsia" w:ascii="Times New Roman" w:hAnsi="Times New Roman" w:eastAsia="黑体" w:cs="Times New Roman"/>
          <w:sz w:val="44"/>
          <w:szCs w:val="44"/>
          <w:lang w:eastAsia="zh-CN"/>
        </w:rPr>
        <w:drawing>
          <wp:anchor distT="0" distB="0" distL="114300" distR="114300" simplePos="0" relativeHeight="251659264" behindDoc="0" locked="0" layoutInCell="1" allowOverlap="1">
            <wp:simplePos x="0" y="0"/>
            <wp:positionH relativeFrom="column">
              <wp:posOffset>-1109980</wp:posOffset>
            </wp:positionH>
            <wp:positionV relativeFrom="paragraph">
              <wp:posOffset>-892810</wp:posOffset>
            </wp:positionV>
            <wp:extent cx="7430770" cy="10602595"/>
            <wp:effectExtent l="0" t="0" r="17780" b="8255"/>
            <wp:wrapNone/>
            <wp:docPr id="1" name="图片 1" descr="CCI_000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CI_000374"/>
                    <pic:cNvPicPr>
                      <a:picLocks noChangeAspect="1"/>
                    </pic:cNvPicPr>
                  </pic:nvPicPr>
                  <pic:blipFill>
                    <a:blip r:embed="rId4"/>
                    <a:stretch>
                      <a:fillRect/>
                    </a:stretch>
                  </pic:blipFill>
                  <pic:spPr>
                    <a:xfrm>
                      <a:off x="0" y="0"/>
                      <a:ext cx="7430770" cy="10602595"/>
                    </a:xfrm>
                    <a:prstGeom prst="rect">
                      <a:avLst/>
                    </a:prstGeom>
                  </pic:spPr>
                </pic:pic>
              </a:graphicData>
            </a:graphic>
          </wp:anchor>
        </w:drawing>
      </w:r>
      <w:bookmarkEnd w:id="6"/>
      <w:r>
        <w:rPr>
          <w:rFonts w:hint="eastAsia" w:ascii="仿宋_GB2312" w:hAnsi="仿宋_GB2312" w:eastAsia="仿宋_GB2312" w:cs="仿宋_GB2312"/>
          <w:i w:val="0"/>
          <w:iCs w:val="0"/>
          <w:caps w:val="0"/>
          <w:color w:val="auto"/>
          <w:spacing w:val="0"/>
          <w:sz w:val="32"/>
          <w:szCs w:val="32"/>
        </w:rPr>
        <w:t>1</w:t>
      </w:r>
      <w:r>
        <w:rPr>
          <w:rFonts w:hint="eastAsia" w:ascii="仿宋_GB2312" w:hAnsi="仿宋_GB2312" w:eastAsia="仿宋_GB2312" w:cs="仿宋_GB2312"/>
          <w:i w:val="0"/>
          <w:iCs w:val="0"/>
          <w:caps w:val="0"/>
          <w:color w:val="auto"/>
          <w:spacing w:val="0"/>
          <w:sz w:val="32"/>
          <w:szCs w:val="32"/>
          <w:lang w:eastAsia="zh-CN"/>
        </w:rPr>
        <w:t>、</w:t>
      </w:r>
      <w:r>
        <w:rPr>
          <w:rFonts w:hint="eastAsia" w:ascii="仿宋_GB2312" w:hAnsi="仿宋_GB2312" w:eastAsia="仿宋_GB2312" w:cs="仿宋_GB2312"/>
          <w:i w:val="0"/>
          <w:iCs w:val="0"/>
          <w:caps w:val="0"/>
          <w:color w:val="auto"/>
          <w:spacing w:val="0"/>
          <w:sz w:val="32"/>
          <w:szCs w:val="32"/>
        </w:rPr>
        <w:t>依据《政府信息公开信息处理费管理办法》收取信息处理费的情况。2022年泰山</w:t>
      </w:r>
      <w:r>
        <w:rPr>
          <w:rFonts w:hint="eastAsia" w:ascii="仿宋_GB2312" w:hAnsi="仿宋_GB2312" w:eastAsia="仿宋_GB2312" w:cs="仿宋_GB2312"/>
          <w:i w:val="0"/>
          <w:iCs w:val="0"/>
          <w:caps w:val="0"/>
          <w:color w:val="auto"/>
          <w:spacing w:val="0"/>
          <w:sz w:val="32"/>
          <w:szCs w:val="32"/>
          <w:lang w:eastAsia="zh-CN"/>
        </w:rPr>
        <w:t>区农业农村局</w:t>
      </w:r>
      <w:r>
        <w:rPr>
          <w:rFonts w:hint="eastAsia" w:ascii="仿宋_GB2312" w:hAnsi="仿宋_GB2312" w:eastAsia="仿宋_GB2312" w:cs="仿宋_GB2312"/>
          <w:i w:val="0"/>
          <w:iCs w:val="0"/>
          <w:caps w:val="0"/>
          <w:color w:val="auto"/>
          <w:spacing w:val="0"/>
          <w:sz w:val="32"/>
          <w:szCs w:val="32"/>
        </w:rPr>
        <w:t>无收取信息处理费的事项。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2.落实上级年度政务公开工作要点情况。泰山</w:t>
      </w:r>
      <w:r>
        <w:rPr>
          <w:rFonts w:hint="eastAsia" w:ascii="仿宋_GB2312" w:hAnsi="仿宋_GB2312" w:eastAsia="仿宋_GB2312" w:cs="仿宋_GB2312"/>
          <w:i w:val="0"/>
          <w:iCs w:val="0"/>
          <w:caps w:val="0"/>
          <w:color w:val="auto"/>
          <w:spacing w:val="0"/>
          <w:sz w:val="32"/>
          <w:szCs w:val="32"/>
          <w:lang w:eastAsia="zh-CN"/>
        </w:rPr>
        <w:t>区农业农村局</w:t>
      </w:r>
      <w:r>
        <w:rPr>
          <w:rFonts w:hint="eastAsia" w:ascii="仿宋_GB2312" w:hAnsi="仿宋_GB2312" w:eastAsia="仿宋_GB2312" w:cs="仿宋_GB2312"/>
          <w:i w:val="0"/>
          <w:iCs w:val="0"/>
          <w:caps w:val="0"/>
          <w:color w:val="auto"/>
          <w:spacing w:val="0"/>
          <w:sz w:val="32"/>
          <w:szCs w:val="32"/>
        </w:rPr>
        <w:t>积极落实区政府办政务公开工作相关要求，安排专人进行信息更新，认真抓好落实。</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ascii="sans-serif" w:hAnsi="sans-serif" w:eastAsia="sans-serif" w:cs="sans-serif"/>
          <w:i w:val="0"/>
          <w:iCs w:val="0"/>
          <w:caps w:val="0"/>
          <w:color w:val="auto"/>
          <w:spacing w:val="0"/>
          <w:sz w:val="24"/>
          <w:szCs w:val="24"/>
        </w:rPr>
      </w:pPr>
      <w:r>
        <w:rPr>
          <w:rFonts w:hint="eastAsia" w:ascii="仿宋_GB2312" w:hAnsi="仿宋_GB2312" w:eastAsia="仿宋_GB2312" w:cs="仿宋_GB2312"/>
          <w:i w:val="0"/>
          <w:iCs w:val="0"/>
          <w:caps w:val="0"/>
          <w:color w:val="auto"/>
          <w:spacing w:val="0"/>
          <w:sz w:val="32"/>
          <w:szCs w:val="32"/>
        </w:rPr>
        <w:t>3.人大代表建议和政协提案办理结果公开情况。</w:t>
      </w:r>
      <w:r>
        <w:rPr>
          <w:rFonts w:hint="eastAsia" w:ascii="仿宋_GB2312" w:hAnsi="仿宋_GB2312" w:eastAsia="仿宋_GB2312" w:cs="仿宋_GB2312"/>
          <w:i w:val="0"/>
          <w:iCs w:val="0"/>
          <w:caps w:val="0"/>
          <w:color w:val="auto"/>
          <w:spacing w:val="0"/>
          <w:sz w:val="32"/>
          <w:szCs w:val="32"/>
          <w:lang w:val="en-US" w:eastAsia="zh-CN"/>
        </w:rPr>
        <w:t>2022年</w:t>
      </w:r>
      <w:r>
        <w:rPr>
          <w:rFonts w:hint="eastAsia" w:ascii="仿宋_GB2312" w:hAnsi="仿宋_GB2312" w:eastAsia="仿宋_GB2312" w:cs="仿宋_GB2312"/>
          <w:i w:val="0"/>
          <w:iCs w:val="0"/>
          <w:caps w:val="0"/>
          <w:color w:val="auto"/>
          <w:spacing w:val="0"/>
          <w:sz w:val="32"/>
          <w:szCs w:val="32"/>
        </w:rPr>
        <w:t>泰山区农业农村局</w:t>
      </w:r>
      <w:r>
        <w:rPr>
          <w:rFonts w:hint="eastAsia" w:ascii="仿宋_GB2312" w:hAnsi="仿宋_GB2312" w:eastAsia="仿宋_GB2312" w:cs="仿宋_GB2312"/>
          <w:i w:val="0"/>
          <w:iCs w:val="0"/>
          <w:caps w:val="0"/>
          <w:color w:val="auto"/>
          <w:spacing w:val="0"/>
          <w:sz w:val="32"/>
          <w:szCs w:val="32"/>
          <w:lang w:eastAsia="zh-CN"/>
        </w:rPr>
        <w:t>共</w:t>
      </w:r>
      <w:r>
        <w:rPr>
          <w:rFonts w:hint="eastAsia" w:ascii="仿宋_GB2312" w:hAnsi="仿宋_GB2312" w:eastAsia="仿宋_GB2312" w:cs="仿宋_GB2312"/>
          <w:i w:val="0"/>
          <w:iCs w:val="0"/>
          <w:caps w:val="0"/>
          <w:color w:val="auto"/>
          <w:spacing w:val="0"/>
          <w:sz w:val="32"/>
          <w:szCs w:val="32"/>
        </w:rPr>
        <w:t>办理人大政协建议、提案共11件。其中：人大建议1件，政协提案、建议10件。主要内容大多集中在乡村振兴、乡村产业发展、农村人居改善等农业农村重点领域。截至7月22日，我局已全面完成办理工作任务，按期办结率和规范答复率均为100%。</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4.政务公开工作创新情况。</w:t>
      </w:r>
      <w:r>
        <w:rPr>
          <w:rFonts w:ascii="仿宋_GB2312" w:hAnsi="宋体" w:eastAsia="仿宋_GB2312" w:cs="仿宋_GB2312"/>
          <w:i w:val="0"/>
          <w:iCs w:val="0"/>
          <w:caps w:val="0"/>
          <w:color w:val="auto"/>
          <w:spacing w:val="0"/>
          <w:sz w:val="31"/>
          <w:szCs w:val="31"/>
        </w:rPr>
        <w:t>2022年，</w:t>
      </w:r>
      <w:r>
        <w:rPr>
          <w:rFonts w:hint="eastAsia" w:ascii="仿宋_GB2312" w:hAnsi="宋体" w:eastAsia="仿宋_GB2312" w:cs="仿宋_GB2312"/>
          <w:i w:val="0"/>
          <w:iCs w:val="0"/>
          <w:caps w:val="0"/>
          <w:color w:val="auto"/>
          <w:spacing w:val="0"/>
          <w:sz w:val="31"/>
          <w:szCs w:val="31"/>
          <w:lang w:eastAsia="zh-CN"/>
        </w:rPr>
        <w:t>泰山区农业农村局结合</w:t>
      </w:r>
      <w:r>
        <w:rPr>
          <w:rFonts w:ascii="仿宋_GB2312" w:hAnsi="宋体" w:eastAsia="仿宋_GB2312" w:cs="仿宋_GB2312"/>
          <w:i w:val="0"/>
          <w:iCs w:val="0"/>
          <w:caps w:val="0"/>
          <w:color w:val="auto"/>
          <w:spacing w:val="0"/>
          <w:sz w:val="31"/>
          <w:szCs w:val="31"/>
        </w:rPr>
        <w:t>工作实际，</w:t>
      </w:r>
      <w:r>
        <w:rPr>
          <w:rFonts w:hint="eastAsia" w:ascii="仿宋_GB2312" w:hAnsi="宋体" w:eastAsia="仿宋_GB2312" w:cs="仿宋_GB2312"/>
          <w:i w:val="0"/>
          <w:iCs w:val="0"/>
          <w:caps w:val="0"/>
          <w:color w:val="auto"/>
          <w:spacing w:val="0"/>
          <w:sz w:val="31"/>
          <w:szCs w:val="31"/>
          <w:lang w:eastAsia="zh-CN"/>
        </w:rPr>
        <w:t>在做好日常公开工作的基础上，及时在涉农领域补贴和乡村振兴专栏发布相关政策信息、工作进展和成效等，</w:t>
      </w:r>
      <w:r>
        <w:rPr>
          <w:rFonts w:hint="default" w:ascii="仿宋" w:hAnsi="仿宋" w:eastAsia="仿宋" w:cs="仿宋"/>
          <w:color w:val="auto"/>
          <w:sz w:val="32"/>
          <w:szCs w:val="32"/>
          <w:lang w:eastAsia="zh-CN"/>
        </w:rPr>
        <w:t>营造了规范、透明、高效的“三农”政务环境</w:t>
      </w:r>
      <w:r>
        <w:rPr>
          <w:rFonts w:hint="eastAsia" w:ascii="仿宋" w:hAnsi="仿宋" w:eastAsia="仿宋" w:cs="仿宋"/>
          <w:color w:val="auto"/>
          <w:sz w:val="32"/>
          <w:szCs w:val="32"/>
          <w:lang w:eastAsia="zh-CN"/>
        </w:rPr>
        <w:t>，助推泰山区乡村振兴工作走深向实。</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000000"/>
          <w:spacing w:val="0"/>
          <w:sz w:val="32"/>
          <w:szCs w:val="32"/>
          <w:lang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000000"/>
          <w:spacing w:val="0"/>
          <w:sz w:val="32"/>
          <w:szCs w:val="32"/>
          <w:lang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i w:val="0"/>
          <w:iCs w:val="0"/>
          <w:caps w:val="0"/>
          <w:color w:val="000000"/>
          <w:spacing w:val="0"/>
          <w:sz w:val="32"/>
          <w:szCs w:val="32"/>
          <w:lang w:eastAsia="zh-CN"/>
        </w:rPr>
      </w:pPr>
      <w:r>
        <w:rPr>
          <w:rFonts w:hint="eastAsia" w:ascii="仿宋_GB2312" w:hAnsi="仿宋_GB2312" w:eastAsia="仿宋_GB2312" w:cs="仿宋_GB2312"/>
          <w:i w:val="0"/>
          <w:iCs w:val="0"/>
          <w:caps w:val="0"/>
          <w:color w:val="000000"/>
          <w:spacing w:val="0"/>
          <w:sz w:val="32"/>
          <w:szCs w:val="32"/>
          <w:lang w:eastAsia="zh-CN"/>
        </w:rPr>
        <w:t>泰山区农业农村局</w:t>
      </w:r>
    </w:p>
    <w:p>
      <w:pPr>
        <w:keepNext w:val="0"/>
        <w:keepLines w:val="0"/>
        <w:pageBreakBefore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方正小标宋简体" w:cs="Times New Roman"/>
          <w:sz w:val="44"/>
          <w:szCs w:val="44"/>
        </w:rPr>
      </w:pPr>
      <w:r>
        <w:rPr>
          <w:rFonts w:hint="eastAsia" w:ascii="仿宋_GB2312" w:hAnsi="仿宋_GB2312" w:eastAsia="仿宋_GB2312" w:cs="仿宋_GB2312"/>
          <w:i w:val="0"/>
          <w:iCs w:val="0"/>
          <w:caps w:val="0"/>
          <w:color w:val="000000"/>
          <w:spacing w:val="0"/>
          <w:sz w:val="32"/>
          <w:szCs w:val="32"/>
          <w:lang w:val="en-US" w:eastAsia="zh-CN"/>
        </w:rPr>
        <w:t>2023年1月29日</w:t>
      </w:r>
    </w:p>
    <w:p>
      <w:pPr>
        <w:jc w:val="center"/>
        <w:rPr>
          <w:rFonts w:hint="eastAsia" w:ascii="Times New Roman" w:hAnsi="Times New Roman" w:eastAsia="黑体" w:cs="Times New Roman"/>
          <w:sz w:val="44"/>
          <w:szCs w:val="44"/>
          <w:lang w:eastAsia="zh-CN"/>
        </w:rPr>
      </w:pPr>
    </w:p>
    <w:p>
      <w:pPr>
        <w:jc w:val="center"/>
        <w:rPr>
          <w:rFonts w:hint="default" w:ascii="Times New Roman" w:hAnsi="Times New Roman" w:eastAsia="黑体" w:cs="Times New Roman"/>
          <w:sz w:val="44"/>
          <w:szCs w:val="44"/>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decorative"/>
    <w:pitch w:val="default"/>
    <w:sig w:usb0="00000001" w:usb1="080E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4YjYxZWJjZTZkZjYxYWIwZTdkNGY4MmEwZDhjMGUifQ=="/>
  </w:docVars>
  <w:rsids>
    <w:rsidRoot w:val="00000000"/>
    <w:rsid w:val="006559F3"/>
    <w:rsid w:val="04185535"/>
    <w:rsid w:val="0AE77D55"/>
    <w:rsid w:val="0D625536"/>
    <w:rsid w:val="13C62793"/>
    <w:rsid w:val="146971C3"/>
    <w:rsid w:val="166E0EC0"/>
    <w:rsid w:val="18D179DC"/>
    <w:rsid w:val="19554EA9"/>
    <w:rsid w:val="19960054"/>
    <w:rsid w:val="1B4472C5"/>
    <w:rsid w:val="1B5709DE"/>
    <w:rsid w:val="1B681F80"/>
    <w:rsid w:val="1DBF5EA2"/>
    <w:rsid w:val="211B2D71"/>
    <w:rsid w:val="23DE0762"/>
    <w:rsid w:val="25AD37B3"/>
    <w:rsid w:val="276A5816"/>
    <w:rsid w:val="2AB90504"/>
    <w:rsid w:val="2AF3793F"/>
    <w:rsid w:val="2E7C1943"/>
    <w:rsid w:val="332014E6"/>
    <w:rsid w:val="35C17D2A"/>
    <w:rsid w:val="37E36D4A"/>
    <w:rsid w:val="386013C1"/>
    <w:rsid w:val="39D817D7"/>
    <w:rsid w:val="3A8618C8"/>
    <w:rsid w:val="3B3B31B7"/>
    <w:rsid w:val="42804A02"/>
    <w:rsid w:val="47573126"/>
    <w:rsid w:val="47752186"/>
    <w:rsid w:val="4842666E"/>
    <w:rsid w:val="48EB1F0B"/>
    <w:rsid w:val="4B653564"/>
    <w:rsid w:val="4E221F97"/>
    <w:rsid w:val="55FF6E63"/>
    <w:rsid w:val="576C0E39"/>
    <w:rsid w:val="594231AE"/>
    <w:rsid w:val="5B2C2259"/>
    <w:rsid w:val="5E2636F4"/>
    <w:rsid w:val="5E6B1842"/>
    <w:rsid w:val="5F043D98"/>
    <w:rsid w:val="5FE231A1"/>
    <w:rsid w:val="624625DA"/>
    <w:rsid w:val="6E084BDB"/>
    <w:rsid w:val="6FF21720"/>
    <w:rsid w:val="71445BB4"/>
    <w:rsid w:val="749731C9"/>
    <w:rsid w:val="7856062C"/>
    <w:rsid w:val="7E1623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2886</Words>
  <Characters>3019</Characters>
  <Lines>0</Lines>
  <Paragraphs>0</Paragraphs>
  <TotalTime>0</TotalTime>
  <ScaleCrop>false</ScaleCrop>
  <LinksUpToDate>false</LinksUpToDate>
  <CharactersWithSpaces>3019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2023-01-17T06:11:00Z</dcterms:created>
  <dc:creator>Administrator</dc:creator>
  <cp:lastModifiedBy>白颖新</cp:lastModifiedBy>
  <cp:lastPrinted>2023-02-01T01:25:00Z</cp:lastPrinted>
  <dcterms:modified xsi:type="dcterms:W3CDTF">2023-02-10T02:52:52Z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6B69B1C493B44FE1B1B45955E016AE0C</vt:lpwstr>
  </property>
</Properties>
</file>