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614AF">
      <w:pPr>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14:paraId="7FB99FC6">
      <w:pPr>
        <w:rPr>
          <w:rFonts w:hint="eastAsia" w:ascii="仿宋_GB2312" w:hAnsi="仿宋_GB2312" w:eastAsia="仿宋_GB2312" w:cs="仿宋_GB2312"/>
          <w:color w:val="auto"/>
          <w:sz w:val="32"/>
          <w:szCs w:val="32"/>
        </w:rPr>
      </w:pPr>
    </w:p>
    <w:p w14:paraId="2923310D">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智慧社区建设验收结果公示</w:t>
      </w:r>
      <w:r>
        <w:rPr>
          <w:rFonts w:hint="eastAsia" w:ascii="仿宋_GB2312" w:hAnsi="仿宋_GB2312" w:eastAsia="仿宋_GB2312" w:cs="仿宋_GB2312"/>
          <w:color w:val="auto"/>
          <w:sz w:val="32"/>
          <w:szCs w:val="32"/>
          <w:lang w:eastAsia="zh-CN"/>
        </w:rPr>
        <w:t>（成长型）</w:t>
      </w:r>
    </w:p>
    <w:p w14:paraId="02332A92">
      <w:pPr>
        <w:rPr>
          <w:rFonts w:hint="eastAsia" w:ascii="仿宋_GB2312" w:hAnsi="仿宋_GB2312" w:eastAsia="仿宋_GB2312" w:cs="仿宋_GB2312"/>
          <w:color w:val="auto"/>
          <w:sz w:val="32"/>
          <w:szCs w:val="32"/>
        </w:rPr>
      </w:pPr>
    </w:p>
    <w:p w14:paraId="745B963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根据《关于加快推进智慧社区建设工作的实施意见》（鲁数发〔2022〕16 号），经</w:t>
      </w:r>
      <w:r>
        <w:rPr>
          <w:rFonts w:hint="eastAsia" w:ascii="仿宋_GB2312" w:hAnsi="仿宋_GB2312" w:eastAsia="仿宋_GB2312" w:cs="仿宋_GB2312"/>
          <w:color w:val="auto"/>
          <w:sz w:val="32"/>
          <w:szCs w:val="32"/>
          <w:lang w:val="en-US" w:eastAsia="zh-CN"/>
        </w:rPr>
        <w:t>向阳</w:t>
      </w:r>
      <w:r>
        <w:rPr>
          <w:rFonts w:hint="eastAsia" w:ascii="仿宋_GB2312" w:hAnsi="仿宋_GB2312" w:eastAsia="仿宋_GB2312" w:cs="仿宋_GB2312"/>
          <w:color w:val="auto"/>
          <w:sz w:val="32"/>
          <w:szCs w:val="32"/>
        </w:rPr>
        <w:t>社区</w:t>
      </w:r>
    </w:p>
    <w:p w14:paraId="6112E182">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泰安市泰山区大数据中心</w:t>
      </w:r>
      <w:r>
        <w:rPr>
          <w:rFonts w:hint="eastAsia" w:ascii="仿宋_GB2312" w:hAnsi="仿宋_GB2312" w:eastAsia="仿宋_GB2312" w:cs="仿宋_GB2312"/>
          <w:color w:val="auto"/>
          <w:sz w:val="32"/>
          <w:szCs w:val="32"/>
        </w:rPr>
        <w:t xml:space="preserve">于 </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日，按照智</w:t>
      </w:r>
      <w:bookmarkStart w:id="0" w:name="_GoBack"/>
      <w:bookmarkEnd w:id="0"/>
      <w:r>
        <w:rPr>
          <w:rFonts w:hint="eastAsia" w:ascii="仿宋_GB2312" w:hAnsi="仿宋_GB2312" w:eastAsia="仿宋_GB2312" w:cs="仿宋_GB2312"/>
          <w:color w:val="auto"/>
          <w:sz w:val="32"/>
          <w:szCs w:val="32"/>
        </w:rPr>
        <w:t>慧社区建设计划开展验收。</w:t>
      </w:r>
      <w:r>
        <w:rPr>
          <w:rFonts w:hint="eastAsia" w:ascii="仿宋_GB2312" w:hAnsi="仿宋_GB2312" w:eastAsia="仿宋_GB2312" w:cs="仿宋_GB2312"/>
          <w:color w:val="auto"/>
          <w:sz w:val="32"/>
          <w:szCs w:val="32"/>
          <w:lang w:val="en-US" w:eastAsia="zh-CN"/>
        </w:rPr>
        <w:t>泰前</w:t>
      </w:r>
      <w:r>
        <w:rPr>
          <w:rFonts w:hint="eastAsia" w:ascii="仿宋_GB2312" w:hAnsi="仿宋_GB2312" w:eastAsia="仿宋_GB2312" w:cs="仿宋_GB2312"/>
          <w:color w:val="auto"/>
          <w:sz w:val="32"/>
          <w:szCs w:val="32"/>
        </w:rPr>
        <w:t>街道</w:t>
      </w:r>
      <w:r>
        <w:rPr>
          <w:rFonts w:hint="eastAsia" w:ascii="仿宋_GB2312" w:hAnsi="仿宋_GB2312" w:eastAsia="仿宋_GB2312" w:cs="仿宋_GB2312"/>
          <w:color w:val="auto"/>
          <w:sz w:val="32"/>
          <w:szCs w:val="32"/>
          <w:lang w:val="en-US" w:eastAsia="zh-CN"/>
        </w:rPr>
        <w:t>向阳</w:t>
      </w:r>
      <w:r>
        <w:rPr>
          <w:rFonts w:hint="eastAsia" w:ascii="仿宋_GB2312" w:hAnsi="仿宋_GB2312" w:eastAsia="仿宋_GB2312" w:cs="仿宋_GB2312"/>
          <w:color w:val="auto"/>
          <w:sz w:val="32"/>
          <w:szCs w:val="32"/>
        </w:rPr>
        <w:t>社区经过</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级初验，初步确定达到《山东省智慧社区建设指标》</w:t>
      </w:r>
      <w:r>
        <w:rPr>
          <w:rFonts w:hint="eastAsia" w:ascii="仿宋_GB2312" w:hAnsi="仿宋_GB2312" w:eastAsia="仿宋_GB2312" w:cs="仿宋_GB2312"/>
          <w:color w:val="auto"/>
          <w:sz w:val="32"/>
          <w:szCs w:val="32"/>
          <w:lang w:eastAsia="zh-CN"/>
        </w:rPr>
        <w:t>（成长型）</w:t>
      </w:r>
      <w:r>
        <w:rPr>
          <w:rFonts w:hint="eastAsia" w:ascii="仿宋_GB2312" w:hAnsi="仿宋_GB2312" w:eastAsia="仿宋_GB2312" w:cs="仿宋_GB2312"/>
          <w:color w:val="auto"/>
          <w:sz w:val="32"/>
          <w:szCs w:val="32"/>
        </w:rPr>
        <w:t>相关建设标准。</w:t>
      </w:r>
    </w:p>
    <w:p w14:paraId="3C9439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15"/>
          <w:sz w:val="21"/>
          <w:szCs w:val="21"/>
          <w:shd w:val="clear" w:fill="FFFFFF"/>
        </w:rPr>
      </w:pPr>
    </w:p>
    <w:p w14:paraId="373FB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15"/>
          <w:sz w:val="21"/>
          <w:szCs w:val="21"/>
          <w:shd w:val="clear" w:fill="FFFFFF"/>
        </w:rPr>
      </w:pPr>
    </w:p>
    <w:p w14:paraId="052CD2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15"/>
          <w:sz w:val="21"/>
          <w:szCs w:val="21"/>
          <w:shd w:val="clear" w:fill="FFFFFF"/>
        </w:rPr>
      </w:pPr>
    </w:p>
    <w:p w14:paraId="57A085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15"/>
          <w:sz w:val="21"/>
          <w:szCs w:val="21"/>
          <w:shd w:val="clear" w:fill="FFFFFF"/>
        </w:rPr>
      </w:pPr>
    </w:p>
    <w:p w14:paraId="6F5BE3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15"/>
          <w:sz w:val="21"/>
          <w:szCs w:val="21"/>
          <w:shd w:val="clear" w:fill="FFFFFF"/>
        </w:rPr>
      </w:pPr>
    </w:p>
    <w:p w14:paraId="77586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auto"/>
          <w:spacing w:val="15"/>
          <w:sz w:val="32"/>
          <w:szCs w:val="32"/>
          <w:shd w:val="clear" w:fill="FFFFFF"/>
        </w:rPr>
      </w:pPr>
    </w:p>
    <w:p w14:paraId="364902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i w:val="0"/>
          <w:iCs w:val="0"/>
          <w:caps w:val="0"/>
          <w:color w:val="auto"/>
          <w:spacing w:val="15"/>
          <w:sz w:val="32"/>
          <w:szCs w:val="32"/>
        </w:rPr>
      </w:pPr>
      <w:r>
        <w:rPr>
          <w:rFonts w:hint="eastAsia" w:ascii="方正小标宋_GBK" w:hAnsi="方正小标宋_GBK" w:eastAsia="方正小标宋_GBK" w:cs="方正小标宋_GBK"/>
          <w:i w:val="0"/>
          <w:iCs w:val="0"/>
          <w:caps w:val="0"/>
          <w:color w:val="auto"/>
          <w:spacing w:val="15"/>
          <w:sz w:val="32"/>
          <w:szCs w:val="32"/>
          <w:shd w:val="clear" w:fill="FFFFFF"/>
        </w:rPr>
        <w:t>山东省智慧社区建设指标（成长型）</w:t>
      </w:r>
    </w:p>
    <w:tbl>
      <w:tblPr>
        <w:tblStyle w:val="4"/>
        <w:tblW w:w="51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9"/>
        <w:gridCol w:w="694"/>
        <w:gridCol w:w="1116"/>
        <w:gridCol w:w="4240"/>
        <w:gridCol w:w="3640"/>
        <w:gridCol w:w="3657"/>
      </w:tblGrid>
      <w:tr w14:paraId="7F9FE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4" w:hRule="atLeast"/>
        </w:trPr>
        <w:tc>
          <w:tcPr>
            <w:tcW w:w="373"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A09F59F">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一级指标</w:t>
            </w: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CDC53B9">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396FC87">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二级指标</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8584E46">
            <w:pPr>
              <w:pStyle w:val="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指标释义</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72F9E40">
            <w:pPr>
              <w:pStyle w:val="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标准要求</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EF7CBFE">
            <w:pPr>
              <w:pStyle w:val="6"/>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auto"/>
                <w:sz w:val="21"/>
                <w:szCs w:val="21"/>
              </w:rPr>
            </w:pPr>
            <w:r>
              <w:rPr>
                <w:rFonts w:hint="eastAsia" w:cs="黑体"/>
                <w:color w:val="auto"/>
                <w:sz w:val="21"/>
                <w:szCs w:val="21"/>
                <w:lang w:val="en-US" w:eastAsia="zh-CN"/>
              </w:rPr>
              <w:t>向阳</w:t>
            </w:r>
            <w:r>
              <w:rPr>
                <w:rFonts w:hint="eastAsia" w:ascii="黑体" w:hAnsi="黑体" w:eastAsia="黑体" w:cs="黑体"/>
                <w:color w:val="auto"/>
                <w:sz w:val="21"/>
                <w:szCs w:val="21"/>
                <w:lang w:val="en-US" w:eastAsia="zh-CN"/>
              </w:rPr>
              <w:t>社区完成情况</w:t>
            </w:r>
          </w:p>
        </w:tc>
      </w:tr>
      <w:tr w14:paraId="014D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5"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3F74C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基础设施</w:t>
            </w:r>
          </w:p>
        </w:tc>
        <w:tc>
          <w:tcPr>
            <w:tcW w:w="240" w:type="pct"/>
            <w:tcBorders>
              <w:top w:val="nil"/>
              <w:left w:val="nil"/>
              <w:bottom w:val="single" w:color="auto" w:sz="4" w:space="0"/>
              <w:right w:val="nil"/>
            </w:tcBorders>
            <w:shd w:val="clear" w:color="auto" w:fill="FFFFFF"/>
            <w:tcMar>
              <w:left w:w="70" w:type="dxa"/>
              <w:right w:w="70" w:type="dxa"/>
            </w:tcMar>
            <w:vAlign w:val="center"/>
          </w:tcPr>
          <w:p w14:paraId="089C25E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06FB4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有线宽带网络</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0F0DBD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社区内有线宽带网络覆盖情况</w:t>
            </w:r>
          </w:p>
          <w:p w14:paraId="53957DF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家庭千兆光纤网络覆盖率</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具备千兆接入能力的家庭数</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社区家庭总数</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C090D9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家庭千兆光纤网络覆盖率达到</w:t>
            </w:r>
            <w:r>
              <w:rPr>
                <w:rFonts w:hint="default" w:ascii="仿宋_GB2312" w:hAnsi="仿宋_GB2312" w:eastAsia="仿宋_GB2312" w:cs="仿宋_GB2312"/>
                <w:color w:val="auto"/>
                <w:sz w:val="21"/>
                <w:szCs w:val="21"/>
              </w:rPr>
              <w:t>80%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65B0F93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2CBF390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家庭千兆光纤网络覆盖率达到</w:t>
            </w:r>
            <w:r>
              <w:rPr>
                <w:rFonts w:hint="eastAsia" w:ascii="仿宋_GB2312" w:hAnsi="仿宋_GB2312" w:eastAsia="仿宋_GB2312" w:cs="仿宋_GB2312"/>
                <w:color w:val="auto"/>
                <w:sz w:val="21"/>
                <w:szCs w:val="21"/>
                <w:lang w:val="en-US" w:eastAsia="zh-CN"/>
              </w:rPr>
              <w:t>100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，其中具备千兆接入能力的家庭数</w:t>
            </w:r>
            <w:r>
              <w:rPr>
                <w:rFonts w:hint="eastAsia" w:ascii="仿宋_GB2312" w:hAnsi="仿宋_GB2312" w:eastAsia="仿宋_GB2312" w:cs="仿宋_GB2312"/>
                <w:color w:val="auto"/>
                <w:sz w:val="21"/>
                <w:szCs w:val="21"/>
                <w:lang w:val="en-US" w:eastAsia="zh-CN"/>
              </w:rPr>
              <w:t>4515</w:t>
            </w:r>
            <w:r>
              <w:rPr>
                <w:rFonts w:hint="eastAsia" w:ascii="仿宋_GB2312" w:hAnsi="仿宋_GB2312" w:eastAsia="仿宋_GB2312" w:cs="仿宋_GB2312"/>
                <w:color w:val="auto"/>
                <w:sz w:val="21"/>
                <w:szCs w:val="21"/>
              </w:rPr>
              <w:t>户，社区家庭总数</w:t>
            </w:r>
            <w:r>
              <w:rPr>
                <w:rFonts w:hint="eastAsia" w:ascii="仿宋_GB2312" w:hAnsi="仿宋_GB2312" w:eastAsia="仿宋_GB2312" w:cs="仿宋_GB2312"/>
                <w:color w:val="auto"/>
                <w:sz w:val="21"/>
                <w:szCs w:val="21"/>
                <w:lang w:val="en-US" w:eastAsia="zh-CN"/>
              </w:rPr>
              <w:t>4515</w:t>
            </w:r>
            <w:r>
              <w:rPr>
                <w:rFonts w:hint="eastAsia" w:ascii="仿宋_GB2312" w:hAnsi="仿宋_GB2312" w:eastAsia="仿宋_GB2312" w:cs="仿宋_GB2312"/>
                <w:color w:val="auto"/>
                <w:sz w:val="21"/>
                <w:szCs w:val="21"/>
              </w:rPr>
              <w:t>户。</w:t>
            </w:r>
          </w:p>
        </w:tc>
      </w:tr>
      <w:tr w14:paraId="6176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90CCF2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2EE4F0C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F8B94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移动通信网络</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8464A7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网络覆盖情况</w:t>
            </w:r>
          </w:p>
          <w:p w14:paraId="69E6039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网络覆盖率</w:t>
            </w: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信号覆盖的区域面积</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社区总面积</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07CD9F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网络覆盖率达到</w:t>
            </w:r>
            <w:r>
              <w:rPr>
                <w:rFonts w:hint="default" w:ascii="仿宋_GB2312" w:hAnsi="仿宋_GB2312" w:eastAsia="仿宋_GB2312" w:cs="仿宋_GB2312"/>
                <w:color w:val="auto"/>
                <w:sz w:val="21"/>
                <w:szCs w:val="21"/>
              </w:rPr>
              <w:t>90%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5E6C9A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18A4B00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网络覆盖率达到</w:t>
            </w:r>
            <w:r>
              <w:rPr>
                <w:rFonts w:hint="eastAsia" w:ascii="仿宋_GB2312" w:hAnsi="仿宋_GB2312" w:eastAsia="仿宋_GB2312" w:cs="仿宋_GB2312"/>
                <w:color w:val="auto"/>
                <w:sz w:val="21"/>
                <w:szCs w:val="21"/>
                <w:lang w:val="en-US" w:eastAsia="zh-CN"/>
              </w:rPr>
              <w:t>100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w:t>
            </w:r>
            <w:r>
              <w:rPr>
                <w:rFonts w:hint="default" w:ascii="仿宋_GB2312" w:hAnsi="仿宋_GB2312" w:eastAsia="仿宋_GB2312" w:cs="仿宋_GB2312"/>
                <w:color w:val="auto"/>
                <w:sz w:val="21"/>
                <w:szCs w:val="21"/>
              </w:rPr>
              <w:t>5G</w:t>
            </w:r>
            <w:r>
              <w:rPr>
                <w:rFonts w:hint="eastAsia" w:ascii="仿宋_GB2312" w:hAnsi="仿宋_GB2312" w:eastAsia="仿宋_GB2312" w:cs="仿宋_GB2312"/>
                <w:color w:val="auto"/>
                <w:sz w:val="21"/>
                <w:szCs w:val="21"/>
              </w:rPr>
              <w:t>信号覆盖的区域面积是</w:t>
            </w:r>
            <w:r>
              <w:rPr>
                <w:rFonts w:hint="eastAsia" w:ascii="仿宋_GB2312" w:hAnsi="仿宋_GB2312" w:eastAsia="仿宋_GB2312" w:cs="仿宋_GB2312"/>
                <w:color w:val="auto"/>
                <w:sz w:val="21"/>
                <w:szCs w:val="21"/>
                <w:lang w:val="en-US" w:eastAsia="zh-CN"/>
              </w:rPr>
              <w:t>0.52</w:t>
            </w:r>
            <w:r>
              <w:rPr>
                <w:rFonts w:hint="eastAsia" w:ascii="仿宋_GB2312" w:hAnsi="仿宋_GB2312" w:eastAsia="仿宋_GB2312" w:cs="仿宋_GB2312"/>
                <w:color w:val="auto"/>
                <w:sz w:val="21"/>
                <w:szCs w:val="21"/>
              </w:rPr>
              <w:t>平方公里，社区总面积是</w:t>
            </w:r>
            <w:r>
              <w:rPr>
                <w:rFonts w:hint="eastAsia" w:ascii="仿宋_GB2312" w:hAnsi="仿宋_GB2312" w:eastAsia="仿宋_GB2312" w:cs="仿宋_GB2312"/>
                <w:color w:val="auto"/>
                <w:sz w:val="21"/>
                <w:szCs w:val="21"/>
                <w:lang w:val="en-US" w:eastAsia="zh-CN"/>
              </w:rPr>
              <w:t>0.52</w:t>
            </w:r>
            <w:r>
              <w:rPr>
                <w:rFonts w:hint="eastAsia" w:ascii="仿宋_GB2312" w:hAnsi="仿宋_GB2312" w:eastAsia="仿宋_GB2312" w:cs="仿宋_GB2312"/>
                <w:color w:val="auto"/>
                <w:sz w:val="21"/>
                <w:szCs w:val="21"/>
              </w:rPr>
              <w:t>平方公里。</w:t>
            </w:r>
          </w:p>
        </w:tc>
      </w:tr>
      <w:tr w14:paraId="533F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5"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3C379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000AEBE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D64499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广播电视</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3838B1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社区内广播电视覆盖情况，包括有线广播电视和交互式网络电视（</w:t>
            </w:r>
            <w:r>
              <w:rPr>
                <w:rFonts w:hint="default" w:ascii="仿宋_GB2312" w:hAnsi="仿宋_GB2312" w:eastAsia="仿宋_GB2312" w:cs="仿宋_GB2312"/>
                <w:color w:val="auto"/>
                <w:sz w:val="21"/>
                <w:szCs w:val="21"/>
              </w:rPr>
              <w:t>IPTV</w:t>
            </w:r>
            <w:r>
              <w:rPr>
                <w:rFonts w:hint="eastAsia" w:ascii="仿宋_GB2312" w:hAnsi="仿宋_GB2312" w:eastAsia="仿宋_GB2312" w:cs="仿宋_GB2312"/>
                <w:color w:val="auto"/>
                <w:sz w:val="21"/>
                <w:szCs w:val="21"/>
              </w:rPr>
              <w:t>）</w:t>
            </w:r>
          </w:p>
          <w:p w14:paraId="7C3901F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广播电视覆盖率</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具备有线广播电视或交互式网络电视（</w:t>
            </w:r>
            <w:r>
              <w:rPr>
                <w:rFonts w:hint="default" w:ascii="仿宋_GB2312" w:hAnsi="仿宋_GB2312" w:eastAsia="仿宋_GB2312" w:cs="仿宋_GB2312"/>
                <w:color w:val="auto"/>
                <w:sz w:val="21"/>
                <w:szCs w:val="21"/>
              </w:rPr>
              <w:t>IPTV</w:t>
            </w:r>
            <w:r>
              <w:rPr>
                <w:rFonts w:hint="eastAsia" w:ascii="仿宋_GB2312" w:hAnsi="仿宋_GB2312" w:eastAsia="仿宋_GB2312" w:cs="仿宋_GB2312"/>
                <w:color w:val="auto"/>
                <w:sz w:val="21"/>
                <w:szCs w:val="21"/>
              </w:rPr>
              <w:t>）接入能力的家庭数</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社区家庭总数</w:t>
            </w:r>
          </w:p>
          <w:p w14:paraId="4D7BAFC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注：每个家庭只计算一次</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D23FA8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广播电视覆盖率达到</w:t>
            </w:r>
            <w:r>
              <w:rPr>
                <w:rFonts w:hint="default" w:ascii="仿宋_GB2312" w:hAnsi="仿宋_GB2312" w:eastAsia="仿宋_GB2312" w:cs="仿宋_GB2312"/>
                <w:color w:val="auto"/>
                <w:sz w:val="21"/>
                <w:szCs w:val="21"/>
              </w:rPr>
              <w:t>80%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5A584C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74B31DC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广播电视覆盖率达到</w:t>
            </w:r>
            <w:r>
              <w:rPr>
                <w:rFonts w:hint="eastAsia" w:ascii="仿宋_GB2312" w:hAnsi="仿宋_GB2312" w:eastAsia="仿宋_GB2312" w:cs="仿宋_GB2312"/>
                <w:color w:val="auto"/>
                <w:sz w:val="21"/>
                <w:szCs w:val="21"/>
                <w:lang w:val="en-US" w:eastAsia="zh-CN"/>
              </w:rPr>
              <w:t>100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，其中具备有线广播电视或交互式网络电视（</w:t>
            </w:r>
            <w:r>
              <w:rPr>
                <w:rFonts w:hint="default" w:ascii="仿宋_GB2312" w:hAnsi="仿宋_GB2312" w:eastAsia="仿宋_GB2312" w:cs="仿宋_GB2312"/>
                <w:color w:val="auto"/>
                <w:sz w:val="21"/>
                <w:szCs w:val="21"/>
              </w:rPr>
              <w:t>IPTV</w:t>
            </w:r>
            <w:r>
              <w:rPr>
                <w:rFonts w:hint="eastAsia" w:ascii="仿宋_GB2312" w:hAnsi="仿宋_GB2312" w:eastAsia="仿宋_GB2312" w:cs="仿宋_GB2312"/>
                <w:color w:val="auto"/>
                <w:sz w:val="21"/>
                <w:szCs w:val="21"/>
              </w:rPr>
              <w:t>）接入能力的家庭数</w:t>
            </w:r>
            <w:r>
              <w:rPr>
                <w:rFonts w:hint="eastAsia" w:ascii="仿宋_GB2312" w:hAnsi="仿宋_GB2312" w:eastAsia="仿宋_GB2312" w:cs="仿宋_GB2312"/>
                <w:color w:val="auto"/>
                <w:sz w:val="21"/>
                <w:szCs w:val="21"/>
                <w:lang w:val="en-US" w:eastAsia="zh-CN"/>
              </w:rPr>
              <w:t>4515</w:t>
            </w:r>
            <w:r>
              <w:rPr>
                <w:rFonts w:hint="eastAsia" w:ascii="仿宋_GB2312" w:hAnsi="仿宋_GB2312" w:eastAsia="仿宋_GB2312" w:cs="仿宋_GB2312"/>
                <w:color w:val="auto"/>
                <w:sz w:val="21"/>
                <w:szCs w:val="21"/>
              </w:rPr>
              <w:t>户，社区家庭总数</w:t>
            </w:r>
            <w:r>
              <w:rPr>
                <w:rFonts w:hint="eastAsia" w:ascii="仿宋_GB2312" w:hAnsi="仿宋_GB2312" w:eastAsia="仿宋_GB2312" w:cs="仿宋_GB2312"/>
                <w:color w:val="auto"/>
                <w:sz w:val="21"/>
                <w:szCs w:val="21"/>
                <w:lang w:val="en-US" w:eastAsia="zh-CN"/>
              </w:rPr>
              <w:t>4515</w:t>
            </w:r>
            <w:r>
              <w:rPr>
                <w:rFonts w:hint="eastAsia" w:ascii="仿宋_GB2312" w:hAnsi="仿宋_GB2312" w:eastAsia="仿宋_GB2312" w:cs="仿宋_GB2312"/>
                <w:color w:val="auto"/>
                <w:sz w:val="21"/>
                <w:szCs w:val="21"/>
              </w:rPr>
              <w:t>户。</w:t>
            </w:r>
          </w:p>
        </w:tc>
      </w:tr>
      <w:tr w14:paraId="2306E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DBD3B3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67F8F8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4</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BF417A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视频监控设施</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405FD0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社区内视频监控设施覆盖、联网和应用情况</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9462D9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视频监控在小区出入口、停车库（场）出入口、社区主干道、消防通道等关键位置的覆盖率、联网率、摄像机完好率均达到</w:t>
            </w:r>
            <w:r>
              <w:rPr>
                <w:rFonts w:hint="default" w:ascii="仿宋_GB2312" w:hAnsi="仿宋_GB2312" w:eastAsia="仿宋_GB2312" w:cs="仿宋_GB2312"/>
                <w:color w:val="auto"/>
                <w:sz w:val="21"/>
                <w:szCs w:val="21"/>
              </w:rPr>
              <w:t>95%</w:t>
            </w:r>
            <w:r>
              <w:rPr>
                <w:rFonts w:hint="eastAsia" w:ascii="仿宋_GB2312" w:hAnsi="仿宋_GB2312" w:eastAsia="仿宋_GB2312" w:cs="仿宋_GB2312"/>
                <w:color w:val="auto"/>
                <w:sz w:val="21"/>
                <w:szCs w:val="21"/>
              </w:rPr>
              <w:t>；</w:t>
            </w:r>
          </w:p>
          <w:p w14:paraId="36BC5EB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公共视频资源出图率达到</w:t>
            </w:r>
            <w:r>
              <w:rPr>
                <w:rFonts w:hint="default" w:ascii="仿宋_GB2312" w:hAnsi="仿宋_GB2312" w:eastAsia="仿宋_GB2312" w:cs="仿宋_GB2312"/>
                <w:color w:val="auto"/>
                <w:sz w:val="21"/>
                <w:szCs w:val="21"/>
              </w:rPr>
              <w:t>85%</w:t>
            </w:r>
            <w:r>
              <w:rPr>
                <w:rFonts w:hint="eastAsia" w:ascii="仿宋_GB2312" w:hAnsi="仿宋_GB2312" w:eastAsia="仿宋_GB2312" w:cs="仿宋_GB2312"/>
                <w:color w:val="auto"/>
                <w:sz w:val="21"/>
                <w:szCs w:val="21"/>
              </w:rPr>
              <w:t>；</w:t>
            </w:r>
          </w:p>
          <w:p w14:paraId="2AAFB94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视频监控编码、名称、行政区划、经纬度等合规率达到</w:t>
            </w:r>
            <w:r>
              <w:rPr>
                <w:rFonts w:hint="default" w:ascii="仿宋_GB2312" w:hAnsi="仿宋_GB2312" w:eastAsia="仿宋_GB2312" w:cs="仿宋_GB2312"/>
                <w:color w:val="auto"/>
                <w:sz w:val="21"/>
                <w:szCs w:val="21"/>
              </w:rPr>
              <w:t>95%</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510B61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2201699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视频监控在小区出入口、停车库（场）出入口、社区主干道、消防通道等关键位置的覆盖率、联网率、摄像机完好率均达到</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，联网率</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，摄像机完好率</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w:t>
            </w:r>
          </w:p>
          <w:p w14:paraId="4BD0316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公共视频资源出图率达到</w:t>
            </w:r>
            <w:r>
              <w:rPr>
                <w:rFonts w:hint="eastAsia" w:ascii="仿宋_GB2312" w:hAnsi="仿宋_GB2312" w:eastAsia="仿宋_GB2312" w:cs="仿宋_GB2312"/>
                <w:color w:val="auto"/>
                <w:sz w:val="21"/>
                <w:szCs w:val="21"/>
                <w:lang w:val="en-US" w:eastAsia="zh-CN"/>
              </w:rPr>
              <w:t>85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w:t>
            </w:r>
          </w:p>
          <w:p w14:paraId="67ACCD3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视频监控编码、名称、行政区划、经纬度等合规率达到</w:t>
            </w:r>
            <w:r>
              <w:rPr>
                <w:rFonts w:hint="eastAsia" w:ascii="仿宋_GB2312" w:hAnsi="仿宋_GB2312" w:eastAsia="仿宋_GB2312" w:cs="仿宋_GB2312"/>
                <w:color w:val="auto"/>
                <w:sz w:val="21"/>
                <w:szCs w:val="21"/>
                <w:lang w:val="en-US" w:eastAsia="zh-CN"/>
              </w:rPr>
              <w:t>95</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w:t>
            </w:r>
          </w:p>
        </w:tc>
      </w:tr>
      <w:tr w14:paraId="7AC4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D6FAC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5A54C2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5</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C7FDC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智能照明设施</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4B5BDC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社区内智能照明设施安装情况</w:t>
            </w:r>
          </w:p>
          <w:p w14:paraId="1CC4443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智能照明设施安装率</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社区内智能照明设备数</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社区内公共照明设备总数</w:t>
            </w:r>
          </w:p>
          <w:p w14:paraId="7CD1058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w:t>
            </w:r>
          </w:p>
          <w:p w14:paraId="669B2DD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智能照明设施指具有自动亮度调节、远程照明控制、故障主动报警等</w:t>
            </w: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项或多项功能的照明设施</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E4A476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智能照明设施安装率达到</w:t>
            </w:r>
            <w:r>
              <w:rPr>
                <w:rFonts w:hint="default" w:ascii="仿宋_GB2312" w:hAnsi="仿宋_GB2312" w:eastAsia="仿宋_GB2312" w:cs="仿宋_GB2312"/>
                <w:color w:val="auto"/>
                <w:sz w:val="21"/>
                <w:szCs w:val="21"/>
              </w:rPr>
              <w:t>80%</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08B7BF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17E271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智能照明设施安装率达到</w:t>
            </w:r>
            <w:r>
              <w:rPr>
                <w:rFonts w:hint="eastAsia" w:ascii="仿宋_GB2312" w:hAnsi="仿宋_GB2312" w:eastAsia="仿宋_GB2312" w:cs="仿宋_GB2312"/>
                <w:color w:val="auto"/>
                <w:sz w:val="21"/>
                <w:szCs w:val="21"/>
                <w:lang w:val="en-US" w:eastAsia="zh-CN"/>
              </w:rPr>
              <w:t>80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，其中社区内智能照明设备数</w:t>
            </w:r>
            <w:r>
              <w:rPr>
                <w:rFonts w:hint="eastAsia" w:ascii="仿宋_GB2312" w:hAnsi="仿宋_GB2312" w:eastAsia="仿宋_GB2312" w:cs="仿宋_GB2312"/>
                <w:color w:val="auto"/>
                <w:sz w:val="21"/>
                <w:szCs w:val="21"/>
                <w:lang w:val="en-US" w:eastAsia="zh-CN"/>
              </w:rPr>
              <w:t>171</w:t>
            </w:r>
            <w:r>
              <w:rPr>
                <w:rFonts w:hint="eastAsia" w:ascii="仿宋_GB2312" w:hAnsi="仿宋_GB2312" w:eastAsia="仿宋_GB2312" w:cs="仿宋_GB2312"/>
                <w:color w:val="auto"/>
                <w:sz w:val="21"/>
                <w:szCs w:val="21"/>
              </w:rPr>
              <w:t>个，社区内公共照明设备总数</w:t>
            </w:r>
            <w:r>
              <w:rPr>
                <w:rFonts w:hint="eastAsia" w:ascii="仿宋_GB2312" w:hAnsi="仿宋_GB2312" w:eastAsia="仿宋_GB2312" w:cs="仿宋_GB2312"/>
                <w:color w:val="auto"/>
                <w:sz w:val="21"/>
                <w:szCs w:val="21"/>
                <w:lang w:val="en-US" w:eastAsia="zh-CN"/>
              </w:rPr>
              <w:t>202</w:t>
            </w:r>
            <w:r>
              <w:rPr>
                <w:rFonts w:hint="eastAsia" w:ascii="仿宋_GB2312" w:hAnsi="仿宋_GB2312" w:eastAsia="仿宋_GB2312" w:cs="仿宋_GB2312"/>
                <w:color w:val="auto"/>
                <w:sz w:val="21"/>
                <w:szCs w:val="21"/>
              </w:rPr>
              <w:t>个。</w:t>
            </w:r>
          </w:p>
        </w:tc>
      </w:tr>
      <w:tr w14:paraId="1550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3"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2C2EB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nil"/>
              <w:bottom w:val="single" w:color="auto" w:sz="4" w:space="0"/>
              <w:right w:val="nil"/>
            </w:tcBorders>
            <w:shd w:val="clear" w:color="auto" w:fill="FFFFFF"/>
            <w:tcMar>
              <w:left w:w="70" w:type="dxa"/>
              <w:right w:w="70" w:type="dxa"/>
            </w:tcMar>
            <w:vAlign w:val="center"/>
          </w:tcPr>
          <w:p w14:paraId="0698BC5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6</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D7A1A6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智能充电设施</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91904A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社区内电动自行车集中停放场所和集中充电设施安装情况</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3D4C64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社区内有电动自行车的每个小区拥有符合消防、供电等技术规范和安全管理要求的电动自行车集中停放场所，并具备定时充电、自动断电、故障报警等功能的智能安全充电设施</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DEB22C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E829A9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社区内共</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个小区</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个小区拥有电动自行车集中停放场所和具备定时充电、自动断电、故障报警等功能的智能安全充电设施。</w:t>
            </w:r>
          </w:p>
        </w:tc>
      </w:tr>
      <w:tr w14:paraId="1EFD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8"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772B05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07D74A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7</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F1695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家庭能源采集设施</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3F450C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社区内水、电、燃气等家庭能源自动化采集设施安装情况</w:t>
            </w:r>
          </w:p>
          <w:p w14:paraId="778948D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家庭能源自动化采集设施安装率</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远程能源智能监控表数量</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社区家庭总数</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12E228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家庭能源自动化采集设施安装率达到</w:t>
            </w:r>
            <w:r>
              <w:rPr>
                <w:rFonts w:hint="default" w:ascii="仿宋_GB2312" w:hAnsi="仿宋_GB2312" w:eastAsia="仿宋_GB2312" w:cs="仿宋_GB2312"/>
                <w:color w:val="auto"/>
                <w:sz w:val="21"/>
                <w:szCs w:val="21"/>
              </w:rPr>
              <w:t>70%</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C13897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32BF32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家庭能源自动化采集设施安装率达到</w:t>
            </w:r>
            <w:r>
              <w:rPr>
                <w:rFonts w:hint="eastAsia" w:ascii="仿宋_GB2312" w:hAnsi="仿宋_GB2312" w:eastAsia="仿宋_GB2312" w:cs="仿宋_GB2312"/>
                <w:color w:val="auto"/>
                <w:sz w:val="21"/>
                <w:szCs w:val="21"/>
                <w:lang w:val="en-US" w:eastAsia="zh-CN"/>
              </w:rPr>
              <w:t>70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，远程能源智能监控表数量</w:t>
            </w:r>
            <w:r>
              <w:rPr>
                <w:rFonts w:hint="eastAsia" w:ascii="仿宋_GB2312" w:hAnsi="仿宋_GB2312" w:eastAsia="仿宋_GB2312" w:cs="仿宋_GB2312"/>
                <w:color w:val="auto"/>
                <w:sz w:val="21"/>
                <w:szCs w:val="21"/>
                <w:lang w:val="en-US" w:eastAsia="zh-CN"/>
              </w:rPr>
              <w:t>3261</w:t>
            </w:r>
            <w:r>
              <w:rPr>
                <w:rFonts w:hint="eastAsia" w:ascii="仿宋_GB2312" w:hAnsi="仿宋_GB2312" w:eastAsia="仿宋_GB2312" w:cs="仿宋_GB2312"/>
                <w:color w:val="auto"/>
                <w:sz w:val="21"/>
                <w:szCs w:val="21"/>
              </w:rPr>
              <w:t>个，社区家庭总数</w:t>
            </w:r>
            <w:r>
              <w:rPr>
                <w:rFonts w:hint="eastAsia" w:ascii="仿宋_GB2312" w:hAnsi="仿宋_GB2312" w:eastAsia="仿宋_GB2312" w:cs="仿宋_GB2312"/>
                <w:color w:val="auto"/>
                <w:sz w:val="21"/>
                <w:szCs w:val="21"/>
                <w:lang w:val="en-US" w:eastAsia="zh-CN"/>
              </w:rPr>
              <w:t>4515</w:t>
            </w:r>
            <w:r>
              <w:rPr>
                <w:rFonts w:hint="eastAsia" w:ascii="仿宋_GB2312" w:hAnsi="仿宋_GB2312" w:eastAsia="仿宋_GB2312" w:cs="仿宋_GB2312"/>
                <w:color w:val="auto"/>
                <w:sz w:val="21"/>
                <w:szCs w:val="21"/>
              </w:rPr>
              <w:t>户。</w:t>
            </w:r>
          </w:p>
        </w:tc>
      </w:tr>
      <w:tr w14:paraId="44AA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96E03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E830F4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8</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0C6CDE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智慧社区综合信息平台</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B85920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依托市级或县级统建部署的智慧社区综合信息平台为社区居民、社区工作者以及物业服务人等提供一体化的管理和服务</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8997FE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对采集的社区人、地、事、物、情、组织等信息实现集中汇聚、整合管理、动态更新；</w:t>
            </w:r>
          </w:p>
          <w:p w14:paraId="79BFBB1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实现与智慧物业管理服务平台互联互通；</w:t>
            </w:r>
          </w:p>
          <w:p w14:paraId="2679392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整合或新建</w:t>
            </w:r>
            <w:r>
              <w:rPr>
                <w:rFonts w:hint="default" w:ascii="仿宋_GB2312" w:hAnsi="仿宋_GB2312" w:eastAsia="仿宋_GB2312" w:cs="仿宋_GB2312"/>
                <w:color w:val="auto"/>
                <w:sz w:val="21"/>
                <w:szCs w:val="21"/>
              </w:rPr>
              <w:t>5</w:t>
            </w:r>
            <w:r>
              <w:rPr>
                <w:rFonts w:hint="eastAsia" w:ascii="仿宋_GB2312" w:hAnsi="仿宋_GB2312" w:eastAsia="仿宋_GB2312" w:cs="仿宋_GB2312"/>
                <w:color w:val="auto"/>
                <w:sz w:val="21"/>
                <w:szCs w:val="21"/>
              </w:rPr>
              <w:t>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DB48FB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2B6A310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依托市级或区县级统建部署的智慧社区综合信息平台为社区居民、社区工作者以及物业服务人等提供一体化的管理和服务。</w:t>
            </w:r>
          </w:p>
        </w:tc>
      </w:tr>
      <w:tr w14:paraId="436D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4"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D070EA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社区服务</w:t>
            </w:r>
          </w:p>
        </w:tc>
        <w:tc>
          <w:tcPr>
            <w:tcW w:w="240" w:type="pct"/>
            <w:tcBorders>
              <w:top w:val="single" w:color="auto" w:sz="4" w:space="0"/>
              <w:left w:val="nil"/>
              <w:bottom w:val="single" w:color="auto" w:sz="4" w:space="0"/>
              <w:right w:val="nil"/>
            </w:tcBorders>
            <w:shd w:val="clear" w:color="auto" w:fill="FFFFFF"/>
            <w:tcMar>
              <w:left w:w="70" w:type="dxa"/>
              <w:right w:w="70" w:type="dxa"/>
            </w:tcMar>
            <w:vAlign w:val="center"/>
          </w:tcPr>
          <w:p w14:paraId="7E154A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9</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4DEED7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政务服务</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DD6E43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通过线上线下相结合的方式，推动政务服务办理向社区延伸，提升社区政务服务能力</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FE6308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社区政务服务场所可为居民提供线下或线上</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一站式</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政务服务，服务形式包括人工窗口、</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爱山东</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网上办事体验区等</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75B173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1077BF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社区政务服务场所可为居民提供线下或线上“一站式”政务服务，服务形式包括党群服务中心服务管理系统、人工窗口、“爱山东”网上办事体验区等。</w:t>
            </w:r>
          </w:p>
        </w:tc>
      </w:tr>
      <w:tr w14:paraId="612F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1"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C48D61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21A5F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10</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C32420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养老服务</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99975A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通过智能化手段，为社区老年人提供助餐、助浴、助洁、助医、助行、助急、助乐等社区养老服务</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FB867F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社区为</w:t>
            </w:r>
            <w:r>
              <w:rPr>
                <w:rFonts w:hint="default" w:ascii="仿宋_GB2312" w:hAnsi="仿宋_GB2312" w:eastAsia="仿宋_GB2312" w:cs="仿宋_GB2312"/>
                <w:color w:val="auto"/>
                <w:sz w:val="21"/>
                <w:szCs w:val="21"/>
              </w:rPr>
              <w:t>60</w:t>
            </w:r>
            <w:r>
              <w:rPr>
                <w:rFonts w:hint="eastAsia" w:ascii="仿宋_GB2312" w:hAnsi="仿宋_GB2312" w:eastAsia="仿宋_GB2312" w:cs="仿宋_GB2312"/>
                <w:color w:val="auto"/>
                <w:sz w:val="21"/>
                <w:szCs w:val="21"/>
              </w:rPr>
              <w:t>岁及以上常住独居老人配备紧急呼叫装置，实现意外事故发生后</w:t>
            </w:r>
            <w:r>
              <w:rPr>
                <w:rFonts w:hint="default" w:ascii="仿宋_GB2312" w:hAnsi="仿宋_GB2312" w:eastAsia="仿宋_GB2312" w:cs="仿宋_GB2312"/>
                <w:color w:val="auto"/>
                <w:sz w:val="21"/>
                <w:szCs w:val="21"/>
              </w:rPr>
              <w:t>15</w:t>
            </w:r>
            <w:r>
              <w:rPr>
                <w:rFonts w:hint="eastAsia" w:ascii="仿宋_GB2312" w:hAnsi="仿宋_GB2312" w:eastAsia="仿宋_GB2312" w:cs="仿宋_GB2312"/>
                <w:color w:val="auto"/>
                <w:sz w:val="21"/>
                <w:szCs w:val="21"/>
              </w:rPr>
              <w:t>分钟内快速响应；</w:t>
            </w:r>
          </w:p>
          <w:p w14:paraId="2A50C83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2.60</w:t>
            </w:r>
            <w:r>
              <w:rPr>
                <w:rFonts w:hint="eastAsia" w:ascii="仿宋_GB2312" w:hAnsi="仿宋_GB2312" w:eastAsia="仿宋_GB2312" w:cs="仿宋_GB2312"/>
                <w:color w:val="auto"/>
                <w:sz w:val="21"/>
                <w:szCs w:val="21"/>
              </w:rPr>
              <w:t>岁及以上常住老年人占比超过</w:t>
            </w:r>
            <w:r>
              <w:rPr>
                <w:rFonts w:hint="default" w:ascii="仿宋_GB2312" w:hAnsi="仿宋_GB2312" w:eastAsia="仿宋_GB2312" w:cs="仿宋_GB2312"/>
                <w:color w:val="auto"/>
                <w:sz w:val="21"/>
                <w:szCs w:val="21"/>
              </w:rPr>
              <w:t>30%</w:t>
            </w:r>
            <w:r>
              <w:rPr>
                <w:rFonts w:hint="eastAsia" w:ascii="仿宋_GB2312" w:hAnsi="仿宋_GB2312" w:eastAsia="仿宋_GB2312" w:cs="仿宋_GB2312"/>
                <w:color w:val="auto"/>
                <w:sz w:val="21"/>
                <w:szCs w:val="21"/>
              </w:rPr>
              <w:t>的社区提供</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种社区养老服务</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37689B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7663E18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社区为</w:t>
            </w:r>
            <w:r>
              <w:rPr>
                <w:rFonts w:hint="default" w:ascii="仿宋_GB2312" w:hAnsi="仿宋_GB2312" w:eastAsia="仿宋_GB2312" w:cs="仿宋_GB2312"/>
                <w:color w:val="auto"/>
                <w:sz w:val="21"/>
                <w:szCs w:val="21"/>
              </w:rPr>
              <w:t>60</w:t>
            </w:r>
            <w:r>
              <w:rPr>
                <w:rFonts w:hint="eastAsia" w:ascii="仿宋_GB2312" w:hAnsi="仿宋_GB2312" w:eastAsia="仿宋_GB2312" w:cs="仿宋_GB2312"/>
                <w:color w:val="auto"/>
                <w:sz w:val="21"/>
                <w:szCs w:val="21"/>
              </w:rPr>
              <w:t>岁及以上独居老人配备紧急呼叫装置，实现意外事故发生后</w:t>
            </w:r>
            <w:r>
              <w:rPr>
                <w:rFonts w:hint="default" w:ascii="仿宋_GB2312" w:hAnsi="仿宋_GB2312" w:eastAsia="仿宋_GB2312" w:cs="仿宋_GB2312"/>
                <w:color w:val="auto"/>
                <w:sz w:val="21"/>
                <w:szCs w:val="21"/>
              </w:rPr>
              <w:t>15</w:t>
            </w:r>
            <w:r>
              <w:rPr>
                <w:rFonts w:hint="eastAsia" w:ascii="仿宋_GB2312" w:hAnsi="仿宋_GB2312" w:eastAsia="仿宋_GB2312" w:cs="仿宋_GB2312"/>
                <w:color w:val="auto"/>
                <w:sz w:val="21"/>
                <w:szCs w:val="21"/>
              </w:rPr>
              <w:t>分钟内快速响应；</w:t>
            </w:r>
          </w:p>
          <w:p w14:paraId="4D1F5B0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w:t>
            </w:r>
            <w:r>
              <w:rPr>
                <w:rFonts w:hint="default" w:ascii="仿宋_GB2312" w:hAnsi="仿宋_GB2312" w:eastAsia="仿宋_GB2312" w:cs="仿宋_GB2312"/>
                <w:color w:val="auto"/>
                <w:sz w:val="21"/>
                <w:szCs w:val="21"/>
              </w:rPr>
              <w:t>60</w:t>
            </w:r>
            <w:r>
              <w:rPr>
                <w:rFonts w:hint="eastAsia" w:ascii="仿宋_GB2312" w:hAnsi="仿宋_GB2312" w:eastAsia="仿宋_GB2312" w:cs="仿宋_GB2312"/>
                <w:color w:val="auto"/>
                <w:sz w:val="21"/>
                <w:szCs w:val="21"/>
              </w:rPr>
              <w:t>岁及以上老年人占比</w:t>
            </w:r>
            <w:r>
              <w:rPr>
                <w:rFonts w:hint="eastAsia" w:ascii="仿宋_GB2312" w:hAnsi="仿宋_GB2312" w:eastAsia="仿宋_GB2312" w:cs="仿宋_GB2312"/>
                <w:color w:val="auto"/>
                <w:sz w:val="21"/>
                <w:szCs w:val="21"/>
                <w:lang w:val="en-US" w:eastAsia="zh-CN"/>
              </w:rPr>
              <w:t>22</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，没超过</w:t>
            </w:r>
            <w:r>
              <w:rPr>
                <w:rFonts w:hint="default" w:ascii="仿宋_GB2312" w:hAnsi="仿宋_GB2312" w:eastAsia="仿宋_GB2312" w:cs="仿宋_GB2312"/>
                <w:color w:val="auto"/>
                <w:sz w:val="21"/>
                <w:szCs w:val="21"/>
              </w:rPr>
              <w:t>30%</w:t>
            </w:r>
            <w:r>
              <w:rPr>
                <w:rFonts w:hint="eastAsia" w:ascii="仿宋_GB2312" w:hAnsi="仿宋_GB2312" w:eastAsia="仿宋_GB2312" w:cs="仿宋_GB2312"/>
                <w:color w:val="auto"/>
                <w:sz w:val="21"/>
                <w:szCs w:val="21"/>
              </w:rPr>
              <w:t>，提供种社区养老服务，分别为助医、</w:t>
            </w:r>
            <w:r>
              <w:rPr>
                <w:rFonts w:hint="eastAsia" w:ascii="仿宋_GB2312" w:hAnsi="仿宋_GB2312" w:eastAsia="仿宋_GB2312" w:cs="仿宋_GB2312"/>
                <w:color w:val="auto"/>
                <w:sz w:val="21"/>
                <w:szCs w:val="21"/>
                <w:lang w:val="en-US" w:eastAsia="zh-CN"/>
              </w:rPr>
              <w:t>助乐。</w:t>
            </w:r>
          </w:p>
        </w:tc>
      </w:tr>
      <w:tr w14:paraId="1368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8B006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nil"/>
              <w:bottom w:val="single" w:color="auto" w:sz="4" w:space="0"/>
              <w:right w:val="nil"/>
            </w:tcBorders>
            <w:shd w:val="clear" w:color="auto" w:fill="FFFFFF"/>
            <w:tcMar>
              <w:left w:w="70" w:type="dxa"/>
              <w:right w:w="70" w:type="dxa"/>
            </w:tcMar>
            <w:vAlign w:val="center"/>
          </w:tcPr>
          <w:p w14:paraId="54697C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11</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3A39B6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文体服务</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59728F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通过智能文体服务设施丰富社区居民日常生活</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DCD5AC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社区内拥有</w:t>
            </w: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个共享图书角或智能共享图书柜；</w:t>
            </w:r>
          </w:p>
          <w:p w14:paraId="582EDA4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在社区居民步行</w:t>
            </w:r>
            <w:r>
              <w:rPr>
                <w:rFonts w:hint="default" w:ascii="仿宋_GB2312" w:hAnsi="仿宋_GB2312" w:eastAsia="仿宋_GB2312" w:cs="仿宋_GB2312"/>
                <w:color w:val="auto"/>
                <w:sz w:val="21"/>
                <w:szCs w:val="21"/>
              </w:rPr>
              <w:t>15</w:t>
            </w:r>
            <w:r>
              <w:rPr>
                <w:rFonts w:hint="eastAsia" w:ascii="仿宋_GB2312" w:hAnsi="仿宋_GB2312" w:eastAsia="仿宋_GB2312" w:cs="仿宋_GB2312"/>
                <w:color w:val="auto"/>
                <w:sz w:val="21"/>
                <w:szCs w:val="21"/>
              </w:rPr>
              <w:t>分钟可达范围内拥有</w:t>
            </w: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处体育场地</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D55DBC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5FDB5FB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社区内拥有</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个共享图书角，</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个智能共享图书柜；</w:t>
            </w:r>
          </w:p>
          <w:p w14:paraId="21E952A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在社区居民步行</w:t>
            </w:r>
            <w:r>
              <w:rPr>
                <w:rFonts w:hint="default" w:ascii="仿宋_GB2312" w:hAnsi="仿宋_GB2312" w:eastAsia="仿宋_GB2312" w:cs="仿宋_GB2312"/>
                <w:color w:val="auto"/>
                <w:sz w:val="21"/>
                <w:szCs w:val="21"/>
              </w:rPr>
              <w:t>15</w:t>
            </w:r>
            <w:r>
              <w:rPr>
                <w:rFonts w:hint="eastAsia" w:ascii="仿宋_GB2312" w:hAnsi="仿宋_GB2312" w:eastAsia="仿宋_GB2312" w:cs="仿宋_GB2312"/>
                <w:color w:val="auto"/>
                <w:sz w:val="21"/>
                <w:szCs w:val="21"/>
              </w:rPr>
              <w:t>分钟可达范围内有1处体育场地</w:t>
            </w:r>
            <w:r>
              <w:rPr>
                <w:rFonts w:hint="eastAsia" w:ascii="仿宋_GB2312" w:hAnsi="仿宋_GB2312" w:eastAsia="仿宋_GB2312" w:cs="仿宋_GB2312"/>
                <w:color w:val="auto"/>
                <w:sz w:val="21"/>
                <w:szCs w:val="21"/>
                <w:lang w:val="en-US" w:eastAsia="zh-CN"/>
              </w:rPr>
              <w:t>.</w:t>
            </w:r>
          </w:p>
        </w:tc>
      </w:tr>
      <w:tr w14:paraId="107D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0B0616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01F5EC3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12</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D5EB03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便民生活服务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EF4916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通过智能化手段，满足社区居民多样化的生活服务需求</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EA9258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社区内按需配备智能便民服务设施，设施类型一般包括智能快件箱、无人售卖机、智能共享直饮水机等</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30A9D2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4593460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社区内按需配备智能便民服务设施，包括智能共享直饮水机</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智能快件箱、无人售卖机、等。</w:t>
            </w:r>
          </w:p>
        </w:tc>
      </w:tr>
      <w:tr w14:paraId="2EEE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4"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25948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7647E0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13</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DE0F14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物业（公共事业）服务</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361B3F0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通过智能化手段，提升社区物业管理服务水平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BC3CEB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能够提供水、电、气、暖、物业费等便捷化的线上缴费服务；</w:t>
            </w:r>
          </w:p>
          <w:p w14:paraId="294965B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80%</w:t>
            </w:r>
            <w:r>
              <w:rPr>
                <w:rFonts w:hint="eastAsia" w:ascii="仿宋_GB2312" w:hAnsi="仿宋_GB2312" w:eastAsia="仿宋_GB2312" w:cs="仿宋_GB2312"/>
                <w:color w:val="auto"/>
                <w:sz w:val="21"/>
                <w:szCs w:val="21"/>
              </w:rPr>
              <w:t>小区实现垃圾分类的智能化监控或按需部署智能垃圾分类设施</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55D637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6CD0451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通过智能</w:t>
            </w:r>
            <w:r>
              <w:rPr>
                <w:rFonts w:hint="default" w:ascii="仿宋_GB2312" w:hAnsi="仿宋_GB2312" w:eastAsia="仿宋_GB2312" w:cs="仿宋_GB2312"/>
                <w:color w:val="auto"/>
                <w:sz w:val="21"/>
                <w:szCs w:val="21"/>
              </w:rPr>
              <w:t>APP</w:t>
            </w:r>
            <w:r>
              <w:rPr>
                <w:rFonts w:hint="eastAsia" w:ascii="仿宋_GB2312" w:hAnsi="仿宋_GB2312" w:eastAsia="仿宋_GB2312" w:cs="仿宋_GB2312"/>
                <w:color w:val="auto"/>
                <w:sz w:val="21"/>
                <w:szCs w:val="21"/>
              </w:rPr>
              <w:t>、小区微信群代缴等渠道能够提供水、电、气、暖、物业费等便捷化的线上缴费服务。</w:t>
            </w:r>
          </w:p>
          <w:p w14:paraId="0B0D11D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80%</w:t>
            </w:r>
            <w:r>
              <w:rPr>
                <w:rFonts w:hint="eastAsia" w:ascii="仿宋_GB2312" w:hAnsi="仿宋_GB2312" w:eastAsia="仿宋_GB2312" w:cs="仿宋_GB2312"/>
                <w:color w:val="auto"/>
                <w:sz w:val="21"/>
                <w:szCs w:val="21"/>
              </w:rPr>
              <w:t>小区实现垃圾分类监控设备或智能垃圾分类设施全覆盖，对垃圾违规投放行为进行监督管理。</w:t>
            </w:r>
          </w:p>
        </w:tc>
      </w:tr>
      <w:tr w14:paraId="5D1D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4"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E76473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社区安全</w:t>
            </w: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4ACA85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14</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DBFC4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社区警务</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7708DF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依托智慧社区综合信息平台，提高社区平安建设能力水平</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79E9BE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实现治安防范预警信息发布，支持警情发布、社区居民自主上报和社情共享</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7B7DD2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758FFD5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依托市级或区县级智慧社区综合信息平台，实现治安防范预警信息发布，支持警情发布，社区居民自主上报和社情共享。</w:t>
            </w:r>
          </w:p>
        </w:tc>
      </w:tr>
      <w:tr w14:paraId="566C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9A432C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nil"/>
              <w:bottom w:val="single" w:color="auto" w:sz="4" w:space="0"/>
              <w:right w:val="nil"/>
            </w:tcBorders>
            <w:shd w:val="clear" w:color="auto" w:fill="FFFFFF"/>
            <w:tcMar>
              <w:left w:w="70" w:type="dxa"/>
              <w:right w:w="70" w:type="dxa"/>
            </w:tcMar>
            <w:vAlign w:val="center"/>
          </w:tcPr>
          <w:p w14:paraId="424A9EB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15</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40C2F8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出入管理</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AF401B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实现社区内封闭式小区出入人员和车辆的智能化管理</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1DC337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社区内封闭式小区出入口部署智能门禁系统，实现人员和车辆的通行认证</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111F78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95703A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社区内封闭式小区</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个，出入口部署智能门禁系统，实现人员和车辆的通行认证。</w:t>
            </w:r>
          </w:p>
        </w:tc>
      </w:tr>
      <w:tr w14:paraId="45C0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58FD9F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6A894D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16</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31156A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周界防范</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A6AFCA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实现社区内封闭式小区周界入侵、攀高、翻越围墙等异常情况监测报警</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A95C00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社区内封闭式小区通过红外监测、雷达监测、电子围栏、周界视频监控等周界防护设施（至少具备一种），实现入侵监测报警</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132DD1B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19027FF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社区内封闭式小区</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个，均通过红外入侵报警、雷达监测、电子围栏、周界视频资源的智能化分析等周界防护设施，实现入侵检测报警。</w:t>
            </w:r>
          </w:p>
        </w:tc>
      </w:tr>
      <w:tr w14:paraId="5594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3"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8B4B91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5BCAB2E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17</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85DB03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高空抛物监测</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CD21A0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在社区内部署高空抛物摄像头，实现高空抛物感知、识别和报警</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E30F9E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12</w:t>
            </w:r>
            <w:r>
              <w:rPr>
                <w:rFonts w:hint="eastAsia" w:ascii="仿宋_GB2312" w:hAnsi="仿宋_GB2312" w:eastAsia="仿宋_GB2312" w:cs="仿宋_GB2312"/>
                <w:color w:val="auto"/>
                <w:sz w:val="21"/>
                <w:szCs w:val="21"/>
              </w:rPr>
              <w:t>层及以上住宅实现高空抛物监控报警，监控范围覆盖</w:t>
            </w: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层及以上所有窗户和洞口</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8BC942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3256602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12</w:t>
            </w:r>
            <w:r>
              <w:rPr>
                <w:rFonts w:hint="eastAsia" w:ascii="仿宋_GB2312" w:hAnsi="仿宋_GB2312" w:eastAsia="仿宋_GB2312" w:cs="仿宋_GB2312"/>
                <w:color w:val="auto"/>
                <w:sz w:val="21"/>
                <w:szCs w:val="21"/>
              </w:rPr>
              <w:t>层及以上住宅</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栋，均</w:t>
            </w:r>
            <w:r>
              <w:rPr>
                <w:rFonts w:hint="eastAsia" w:ascii="仿宋_GB2312" w:hAnsi="仿宋_GB2312" w:eastAsia="仿宋_GB2312" w:cs="仿宋_GB2312"/>
                <w:color w:val="auto"/>
                <w:sz w:val="21"/>
                <w:szCs w:val="21"/>
                <w:lang w:val="en-US" w:eastAsia="zh-CN"/>
              </w:rPr>
              <w:t>为六层居民住宅。</w:t>
            </w:r>
          </w:p>
        </w:tc>
      </w:tr>
      <w:tr w14:paraId="5436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3"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A9A29E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2D25BA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18</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4A70CF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特殊人群管理</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FC31E0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通过智能化手段，实现社区内刑满释放人员、社区矫正对象、吸毒人员、解除强制隔离戒毒人员、精神病人、犯罪青少年和其他重点人员等特殊人群的监督和管理</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D61702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社区为特殊人群建档立卡并实时推送相关政策和服务信息，多渠道收集特殊人群的行为异常信息、活动轨迹，并及时核对、上报</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CFC085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32FEB1E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社区为特殊人群建档立卡并实时推送相关政策和服务信息，多渠道收集特殊人群的行为异常信息、活动轨迹，并及时核对、上报。</w:t>
            </w:r>
          </w:p>
        </w:tc>
      </w:tr>
      <w:tr w14:paraId="492D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8"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128A96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9A7445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19</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F35982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消防隐患管理</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A1D765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通过智能化手段，识别社区公共区域的消防隐患，提升社区消防安全管理水平</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BB7584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80%</w:t>
            </w:r>
            <w:r>
              <w:rPr>
                <w:rFonts w:hint="eastAsia" w:ascii="仿宋_GB2312" w:hAnsi="仿宋_GB2312" w:eastAsia="仿宋_GB2312" w:cs="仿宋_GB2312"/>
                <w:color w:val="auto"/>
                <w:sz w:val="21"/>
                <w:szCs w:val="21"/>
              </w:rPr>
              <w:t>小区实现消防通道占用、消防栓异常、防火门打开、电气设施异常等情况的自动化识别和上报；</w:t>
            </w:r>
          </w:p>
          <w:p w14:paraId="216BD04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社区内</w:t>
            </w:r>
            <w:r>
              <w:rPr>
                <w:rFonts w:hint="default" w:ascii="仿宋_GB2312" w:hAnsi="仿宋_GB2312" w:eastAsia="仿宋_GB2312" w:cs="仿宋_GB2312"/>
                <w:color w:val="auto"/>
                <w:sz w:val="21"/>
                <w:szCs w:val="21"/>
              </w:rPr>
              <w:t>80%</w:t>
            </w:r>
            <w:r>
              <w:rPr>
                <w:rFonts w:hint="eastAsia" w:ascii="仿宋_GB2312" w:hAnsi="仿宋_GB2312" w:eastAsia="仿宋_GB2312" w:cs="仿宋_GB2312"/>
                <w:color w:val="auto"/>
                <w:sz w:val="21"/>
                <w:szCs w:val="21"/>
              </w:rPr>
              <w:t>小区实现电动车进电梯智能识别、自动报警</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98CEAE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5265C7C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社区内</w:t>
            </w:r>
            <w:r>
              <w:rPr>
                <w:rFonts w:hint="eastAsia" w:ascii="仿宋_GB2312" w:hAnsi="仿宋_GB2312" w:eastAsia="仿宋_GB2312" w:cs="仿宋_GB2312"/>
                <w:color w:val="auto"/>
                <w:sz w:val="21"/>
                <w:szCs w:val="21"/>
                <w:lang w:val="en-US" w:eastAsia="zh-CN"/>
              </w:rPr>
              <w:t>80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小区实现消防通道占用、消防栓异常、防火门打开、电气设施异常等情况的自动化识别和上报；</w:t>
            </w:r>
          </w:p>
          <w:p w14:paraId="2D90C2B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社区内</w:t>
            </w:r>
            <w:r>
              <w:rPr>
                <w:rFonts w:hint="eastAsia" w:ascii="仿宋_GB2312" w:hAnsi="仿宋_GB2312" w:eastAsia="仿宋_GB2312" w:cs="仿宋_GB2312"/>
                <w:color w:val="auto"/>
                <w:sz w:val="21"/>
                <w:szCs w:val="21"/>
                <w:lang w:val="en-US" w:eastAsia="zh-CN"/>
              </w:rPr>
              <w:t>80</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小区实现电动车进电梯智能识别、自动报警。</w:t>
            </w:r>
          </w:p>
        </w:tc>
      </w:tr>
      <w:tr w14:paraId="0EC7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6"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843E2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CF46D8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20</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04A9DD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火灾自动报警</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4DE18C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通过智能化手段，实现火灾自动报警，提高社区火情处置能力</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D273A3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社区内住宅建筑公共区域实现火灾自动报警系统全覆盖</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A88FCE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BB1444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社区内住宅建筑公共区域实现火灾自动报警系统全覆盖。</w:t>
            </w:r>
          </w:p>
        </w:tc>
      </w:tr>
      <w:tr w14:paraId="7A5A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D048C2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社区</w:t>
            </w:r>
          </w:p>
          <w:p w14:paraId="4D12BA6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治理</w:t>
            </w: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86E646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21</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A8BD3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治理方式创新</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280F941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依托智慧社区综合信息平台，提升社区治理精细化、智能化水平</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C6F7DD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依托智慧社区综合信息平台，发挥数字技术在社区治理和辅助决策中的作用；</w:t>
            </w:r>
          </w:p>
          <w:p w14:paraId="4CF7899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推动社区党建工作与党员管理服务信息化，实现社区党员、社区工作者等信息统一采集入库</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29CA5D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33698FB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依托市级或区县级智慧社区综合信息平台，发挥数字技术在社区治理和辅助决策中的作用；推动社区党建工作与党员管理服务信息化，实现社区党员、社区工作者等信息统一采集入库。</w:t>
            </w:r>
          </w:p>
        </w:tc>
      </w:tr>
      <w:tr w14:paraId="713F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7D963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nil"/>
              <w:bottom w:val="single" w:color="auto" w:sz="4" w:space="0"/>
              <w:right w:val="nil"/>
            </w:tcBorders>
            <w:shd w:val="clear" w:color="auto" w:fill="FFFFFF"/>
            <w:tcMar>
              <w:left w:w="70" w:type="dxa"/>
              <w:right w:w="70" w:type="dxa"/>
            </w:tcMar>
            <w:vAlign w:val="center"/>
          </w:tcPr>
          <w:p w14:paraId="4649E93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22</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820F6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居民参与共治</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510163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运用智能化手段，进一步拓宽、畅通群众参与渠道，不断优化共建共治共享工作机制</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3A2113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采用网上选民登记等方式开展民主选举工作；</w:t>
            </w:r>
          </w:p>
          <w:p w14:paraId="67D2628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按需组织线上议事协商活动，原则上每年不少于</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次；</w:t>
            </w:r>
          </w:p>
          <w:p w14:paraId="57A33F0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党务、居务、财务线上线下同步公开，接受群众监督</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604461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70085FB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依托智慧社区综合信息平台，采用网上选民登记等方式开展民主选举工作；</w:t>
            </w:r>
          </w:p>
          <w:p w14:paraId="5EC9385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依托党群服务中心系统，按需组织线上议事协商活动</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每年开展</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次；</w:t>
            </w:r>
          </w:p>
          <w:p w14:paraId="4F3B24A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依托智慧社区综合信息平台系统，党务、居务、财务线上线下同步公开，接受群众监督。</w:t>
            </w:r>
          </w:p>
        </w:tc>
      </w:tr>
      <w:tr w14:paraId="7AAE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2"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E8562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nil"/>
              <w:left w:val="nil"/>
              <w:bottom w:val="single" w:color="auto" w:sz="4" w:space="0"/>
              <w:right w:val="nil"/>
            </w:tcBorders>
            <w:shd w:val="clear" w:color="auto" w:fill="FFFFFF"/>
            <w:tcMar>
              <w:left w:w="70" w:type="dxa"/>
              <w:right w:w="70" w:type="dxa"/>
            </w:tcMar>
            <w:vAlign w:val="center"/>
          </w:tcPr>
          <w:p w14:paraId="3C63103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23</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8A02F5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疫情防控</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31A817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依托智慧社区综合信息平台，提高社区疫情防控工作的精细化、智能化、科学化水平</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44F82B3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实现疫苗接种、核酸检测、重点人员等防控信息管理；</w:t>
            </w:r>
          </w:p>
          <w:p w14:paraId="1C44330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实时发布当地疫情防控的政策措施，实现疫情信息动态更新</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72A5F94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3E2BE9C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依托市级或区县级智慧社区综合信息平台，实现疫苗接种、核酸检测、重点人员等防控信息管理；实时发布当地疫情防控的政策措施，实现疫情信息动态更新。</w:t>
            </w:r>
          </w:p>
        </w:tc>
      </w:tr>
      <w:tr w14:paraId="53BF7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0ABB920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保障措施</w:t>
            </w:r>
          </w:p>
        </w:tc>
        <w:tc>
          <w:tcPr>
            <w:tcW w:w="240" w:type="pct"/>
            <w:tcBorders>
              <w:top w:val="nil"/>
              <w:left w:val="nil"/>
              <w:bottom w:val="single" w:color="auto" w:sz="4" w:space="0"/>
              <w:right w:val="nil"/>
            </w:tcBorders>
            <w:shd w:val="clear" w:color="auto" w:fill="FFFFFF"/>
            <w:tcMar>
              <w:left w:w="70" w:type="dxa"/>
              <w:right w:w="70" w:type="dxa"/>
            </w:tcMar>
            <w:vAlign w:val="center"/>
          </w:tcPr>
          <w:p w14:paraId="2259DBC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24</w:t>
            </w:r>
          </w:p>
        </w:tc>
        <w:tc>
          <w:tcPr>
            <w:tcW w:w="386"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A20D0C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体制机制</w:t>
            </w:r>
          </w:p>
        </w:tc>
        <w:tc>
          <w:tcPr>
            <w:tcW w:w="1469"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0E0017F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智慧社区的组织机制建设和规划制定情况</w:t>
            </w:r>
          </w:p>
        </w:tc>
        <w:tc>
          <w:tcPr>
            <w:tcW w:w="1261"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24A260E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形成智慧社区建设领导组织体系和统筹协调机制，明确责任分工和推进方案；</w:t>
            </w:r>
          </w:p>
          <w:p w14:paraId="19D5DC5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具有明确的智慧社区运营主体；</w:t>
            </w:r>
          </w:p>
          <w:p w14:paraId="1F773F6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智慧社区建设纳入市级或县级统一的智慧城市建设规划或单独的智慧社区规划</w:t>
            </w:r>
          </w:p>
        </w:tc>
        <w:tc>
          <w:tcPr>
            <w:tcW w:w="1267" w:type="pct"/>
            <w:tcBorders>
              <w:top w:val="nil"/>
              <w:left w:val="single" w:color="auto" w:sz="4" w:space="0"/>
              <w:bottom w:val="single" w:color="auto" w:sz="4" w:space="0"/>
              <w:right w:val="single" w:color="auto" w:sz="4" w:space="0"/>
            </w:tcBorders>
            <w:shd w:val="clear" w:color="auto" w:fill="FFFFFF"/>
            <w:tcMar>
              <w:left w:w="70" w:type="dxa"/>
              <w:right w:w="70" w:type="dxa"/>
            </w:tcMar>
            <w:vAlign w:val="center"/>
          </w:tcPr>
          <w:p w14:paraId="509D86E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007A95C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形成智慧社区建设领导组织体系和统筹协调机制，明确责任分工和推进方案；</w:t>
            </w:r>
          </w:p>
          <w:p w14:paraId="50F2D9F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具有明确的智慧社区运营主体，运营单位是</w:t>
            </w:r>
            <w:r>
              <w:rPr>
                <w:rFonts w:hint="eastAsia" w:ascii="仿宋_GB2312" w:hAnsi="仿宋_GB2312" w:eastAsia="仿宋_GB2312" w:cs="仿宋_GB2312"/>
                <w:color w:val="auto"/>
                <w:sz w:val="21"/>
                <w:szCs w:val="21"/>
                <w:lang w:val="en-US" w:eastAsia="zh-CN"/>
              </w:rPr>
              <w:t>华新物业、人和物业旗和邻物业</w:t>
            </w:r>
            <w:r>
              <w:rPr>
                <w:rFonts w:hint="eastAsia" w:ascii="仿宋_GB2312" w:hAnsi="仿宋_GB2312" w:eastAsia="仿宋_GB2312" w:cs="仿宋_GB2312"/>
                <w:color w:val="auto"/>
                <w:sz w:val="21"/>
                <w:szCs w:val="21"/>
              </w:rPr>
              <w:t>；</w:t>
            </w:r>
          </w:p>
          <w:p w14:paraId="7B437BA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rPr>
              <w:t>智慧社区建设纳入市级或县级统一的智慧城市建设规划或单独的智慧社区规划。</w:t>
            </w:r>
          </w:p>
        </w:tc>
      </w:tr>
      <w:tr w14:paraId="4BA0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2A591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0A8B0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25</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C34450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宣传普及</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728DA4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面向社区居民，宣传普及智慧社区建设成效</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43E59E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每年开展</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次智慧社区宣传普及活动</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62E2E9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1DF60B4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每年开展</w:t>
            </w: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次智慧社区宣传普及活动</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面向社区居民，宣传普及智慧社区建设成效。</w:t>
            </w:r>
          </w:p>
        </w:tc>
      </w:tr>
      <w:tr w14:paraId="408B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8" w:hRule="atLeast"/>
        </w:trPr>
        <w:tc>
          <w:tcPr>
            <w:tcW w:w="373" w:type="pct"/>
            <w:vMerge w:val="continue"/>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F6BC1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A1D3E8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26</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1FAC77F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信息安全</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746647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建立长效的社区信息安全保护机制，确保社区安全稳定</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B2B894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智慧社区综合信息平台采用加密等安全措施保障社区居民个人信息安全；</w:t>
            </w:r>
          </w:p>
          <w:p w14:paraId="5EDE375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rPr>
              <w:t>智慧社区综合信息平台实现管理人员、操作人员、运维人员的分级授权管理，严格限定信息的访问、下载权限和使用范围，对人员操作过程进行记录并采取技术措施确保记录不可修改、删除</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F835C1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4979C45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使用的市级或区县级智慧社区综合信息平台</w:t>
            </w:r>
            <w:r>
              <w:rPr>
                <w:rFonts w:hint="eastAsia" w:ascii="仿宋_GB2312" w:hAnsi="仿宋_GB2312" w:eastAsia="仿宋_GB2312" w:cs="仿宋_GB2312"/>
                <w:color w:val="auto"/>
                <w:sz w:val="21"/>
                <w:szCs w:val="21"/>
                <w:lang w:val="en-US" w:eastAsia="zh-CN"/>
              </w:rPr>
              <w:t>通过</w:t>
            </w:r>
            <w:r>
              <w:rPr>
                <w:rFonts w:hint="eastAsia" w:ascii="仿宋_GB2312" w:hAnsi="仿宋_GB2312" w:eastAsia="仿宋_GB2312" w:cs="仿宋_GB2312"/>
                <w:color w:val="auto"/>
                <w:sz w:val="21"/>
                <w:szCs w:val="21"/>
              </w:rPr>
              <w:t>智慧社区综合信息平台等技术措施保障社区居民个人信息安全；实现管理人员、操作人员、运维人员的分级授权管理，严格限定信息的访问、下载权限和使用范围，对人员操作过程进行记录并采取技术措施确保记录不可修改、删除。</w:t>
            </w:r>
          </w:p>
        </w:tc>
      </w:tr>
      <w:tr w14:paraId="48D56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0" w:hRule="atLeast"/>
        </w:trPr>
        <w:tc>
          <w:tcPr>
            <w:tcW w:w="373"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465DC6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创新应用和做法</w:t>
            </w:r>
          </w:p>
        </w:tc>
        <w:tc>
          <w:tcPr>
            <w:tcW w:w="240"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375BC81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27</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140C34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创新应用场景</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9553C6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结合社区实际情况，依托智慧社区综合信息平台，聚焦急需解决的痛点难点，在充分征求社区居民意见的基础上，打造居民满意度高、运营模式成熟的创新应用场景，切实提升社区居民的获得感、幸福感、安全感</w:t>
            </w:r>
          </w:p>
          <w:p w14:paraId="1BDD311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注：</w:t>
            </w:r>
          </w:p>
          <w:p w14:paraId="186F22C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如针对老旧小区、集中安置小区等居民停车难问题，通过打造智慧停车应用场景，规范车辆停放秩序，实现泊位信息实时查询，提高泊位利用率</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6E4E4E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形成不少于</w:t>
            </w:r>
            <w:r>
              <w:rPr>
                <w:rFonts w:hint="default"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rPr>
              <w:t>项在市级层面推广的创新应用场景</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9BEE8F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4350400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依托区级智慧社区综合信息平台，建设</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码上提，马上办</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服务场景，解决了辖区居民</w:t>
            </w:r>
            <w:r>
              <w:rPr>
                <w:rFonts w:hint="eastAsia" w:ascii="仿宋_GB2312" w:hAnsi="仿宋_GB2312" w:eastAsia="仿宋_GB2312" w:cs="仿宋_GB2312"/>
                <w:color w:val="auto"/>
                <w:sz w:val="21"/>
                <w:szCs w:val="21"/>
                <w:lang w:val="en-US" w:eastAsia="zh-CN"/>
              </w:rPr>
              <w:t>在日常应急</w:t>
            </w:r>
            <w:r>
              <w:rPr>
                <w:rFonts w:hint="eastAsia" w:ascii="仿宋_GB2312" w:hAnsi="仿宋_GB2312" w:eastAsia="仿宋_GB2312" w:cs="仿宋_GB2312"/>
                <w:color w:val="auto"/>
                <w:sz w:val="21"/>
                <w:szCs w:val="21"/>
              </w:rPr>
              <w:t>等方面的服务需求，使社区在为居民提供行政性服务的同时，也可以为居民提供更加优质、便捷的便民服务，提升社区服务水平，实现社区内自治。</w:t>
            </w:r>
          </w:p>
        </w:tc>
      </w:tr>
      <w:tr w14:paraId="1D51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 w:hRule="atLeast"/>
        </w:trPr>
        <w:tc>
          <w:tcPr>
            <w:tcW w:w="373"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F71202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居民体验</w:t>
            </w:r>
          </w:p>
        </w:tc>
        <w:tc>
          <w:tcPr>
            <w:tcW w:w="240" w:type="pct"/>
            <w:tcBorders>
              <w:top w:val="single" w:color="auto" w:sz="4" w:space="0"/>
              <w:left w:val="nil"/>
              <w:bottom w:val="single" w:color="auto" w:sz="4" w:space="0"/>
              <w:right w:val="nil"/>
            </w:tcBorders>
            <w:shd w:val="clear" w:color="auto" w:fill="FFFFFF"/>
            <w:tcMar>
              <w:left w:w="70" w:type="dxa"/>
              <w:right w:w="70" w:type="dxa"/>
            </w:tcMar>
            <w:vAlign w:val="center"/>
          </w:tcPr>
          <w:p w14:paraId="05CF7B7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28</w:t>
            </w:r>
          </w:p>
        </w:tc>
        <w:tc>
          <w:tcPr>
            <w:tcW w:w="386"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80D3D2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居民体验调查</w:t>
            </w:r>
          </w:p>
        </w:tc>
        <w:tc>
          <w:tcPr>
            <w:tcW w:w="1469"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7B420F8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通过调查问卷等方式评价居民对智慧社区建设效果的切身感受</w:t>
            </w:r>
          </w:p>
        </w:tc>
        <w:tc>
          <w:tcPr>
            <w:tcW w:w="1261"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618A200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居民满意度达到</w:t>
            </w:r>
            <w:r>
              <w:rPr>
                <w:rFonts w:hint="default" w:ascii="仿宋_GB2312" w:hAnsi="仿宋_GB2312" w:eastAsia="仿宋_GB2312" w:cs="仿宋_GB2312"/>
                <w:color w:val="auto"/>
                <w:sz w:val="21"/>
                <w:szCs w:val="21"/>
              </w:rPr>
              <w:t>70%</w:t>
            </w:r>
          </w:p>
        </w:tc>
        <w:tc>
          <w:tcPr>
            <w:tcW w:w="1267" w:type="pct"/>
            <w:tcBorders>
              <w:top w:val="single" w:color="auto" w:sz="4" w:space="0"/>
              <w:left w:val="single" w:color="auto" w:sz="4" w:space="0"/>
              <w:bottom w:val="single" w:color="auto" w:sz="4" w:space="0"/>
              <w:right w:val="single" w:color="auto" w:sz="4" w:space="0"/>
            </w:tcBorders>
            <w:shd w:val="clear" w:color="auto" w:fill="FFFFFF"/>
            <w:tcMar>
              <w:left w:w="70" w:type="dxa"/>
              <w:right w:w="70" w:type="dxa"/>
            </w:tcMar>
            <w:vAlign w:val="center"/>
          </w:tcPr>
          <w:p w14:paraId="5A4B0EF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达标。</w:t>
            </w:r>
          </w:p>
          <w:p w14:paraId="3B51673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通过调查问卷等方式评价居民对智慧社区建设效果的切身感受，居民满意度达到</w:t>
            </w:r>
            <w:r>
              <w:rPr>
                <w:rFonts w:hint="eastAsia" w:ascii="仿宋_GB2312" w:hAnsi="仿宋_GB2312" w:eastAsia="仿宋_GB2312" w:cs="仿宋_GB2312"/>
                <w:color w:val="auto"/>
                <w:sz w:val="21"/>
                <w:szCs w:val="21"/>
                <w:lang w:val="en-US" w:eastAsia="zh-CN"/>
              </w:rPr>
              <w:t>70%</w:t>
            </w:r>
          </w:p>
        </w:tc>
      </w:tr>
    </w:tbl>
    <w:p w14:paraId="12FC1F64">
      <w:pPr>
        <w:rPr>
          <w:color w:val="auto"/>
        </w:rPr>
      </w:pPr>
    </w:p>
    <w:p w14:paraId="2C30D7EA">
      <w:pPr>
        <w:rPr>
          <w:rFonts w:hint="eastAsia" w:ascii="仿宋_GB2312" w:hAnsi="仿宋_GB2312" w:eastAsia="仿宋_GB2312" w:cs="仿宋_GB2312"/>
          <w:color w:val="auto"/>
          <w:sz w:val="32"/>
          <w:szCs w:val="32"/>
        </w:rPr>
      </w:pPr>
    </w:p>
    <w:p w14:paraId="37BCDD3F">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 5 天（自</w:t>
      </w:r>
      <w:r>
        <w:rPr>
          <w:rFonts w:hint="eastAsia" w:ascii="仿宋_GB2312" w:hAnsi="仿宋_GB2312" w:eastAsia="仿宋_GB2312" w:cs="仿宋_GB2312"/>
          <w:color w:val="auto"/>
          <w:sz w:val="32"/>
          <w:szCs w:val="32"/>
          <w:lang w:val="en-US" w:eastAsia="zh-CN"/>
        </w:rPr>
        <w:t>2024年10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日始—</w:t>
      </w:r>
      <w:r>
        <w:rPr>
          <w:rFonts w:hint="eastAsia" w:ascii="仿宋_GB2312" w:hAnsi="仿宋_GB2312" w:eastAsia="仿宋_GB2312" w:cs="仿宋_GB2312"/>
          <w:color w:val="auto"/>
          <w:sz w:val="32"/>
          <w:szCs w:val="32"/>
          <w:lang w:val="en-US" w:eastAsia="zh-CN"/>
        </w:rPr>
        <w:t>2024年10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日止）。如有异议，请在公示期内向</w:t>
      </w:r>
      <w:r>
        <w:rPr>
          <w:rFonts w:hint="eastAsia" w:ascii="仿宋_GB2312" w:hAnsi="仿宋_GB2312" w:eastAsia="仿宋_GB2312" w:cs="仿宋_GB2312"/>
          <w:color w:val="auto"/>
          <w:sz w:val="32"/>
          <w:szCs w:val="32"/>
          <w:lang w:eastAsia="zh-CN"/>
        </w:rPr>
        <w:t>泰安</w:t>
      </w:r>
      <w:r>
        <w:rPr>
          <w:rFonts w:hint="eastAsia" w:ascii="仿宋_GB2312" w:hAnsi="仿宋_GB2312" w:eastAsia="仿宋_GB2312" w:cs="仿宋_GB2312"/>
          <w:color w:val="auto"/>
          <w:sz w:val="32"/>
          <w:szCs w:val="32"/>
        </w:rPr>
        <w:t xml:space="preserve">市大数据局反馈。 </w:t>
      </w:r>
    </w:p>
    <w:p w14:paraId="1C921B96">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联系电话：0538-6996179</w:t>
      </w:r>
    </w:p>
    <w:p w14:paraId="328383B2">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联系邮箱：dsjjghk@ta.shandong.cn</w:t>
      </w:r>
    </w:p>
    <w:p w14:paraId="6DDC82CB">
      <w:pPr>
        <w:ind w:left="0" w:leftChars="0" w:firstLine="0" w:firstLineChars="0"/>
        <w:rPr>
          <w:rFonts w:hint="eastAsia" w:ascii="仿宋_GB2312" w:hAnsi="仿宋_GB2312" w:eastAsia="仿宋_GB2312" w:cs="仿宋_GB2312"/>
          <w:color w:val="auto"/>
          <w:sz w:val="32"/>
          <w:szCs w:val="32"/>
        </w:rPr>
      </w:pPr>
    </w:p>
    <w:p w14:paraId="45A39AF6">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泰安市泰山区大数据</w:t>
      </w:r>
      <w:r>
        <w:rPr>
          <w:rFonts w:hint="eastAsia" w:ascii="仿宋_GB2312" w:hAnsi="仿宋_GB2312" w:eastAsia="仿宋_GB2312" w:cs="仿宋_GB2312"/>
          <w:color w:val="auto"/>
          <w:sz w:val="32"/>
          <w:szCs w:val="32"/>
        </w:rPr>
        <w:t>中心</w:t>
      </w:r>
    </w:p>
    <w:p w14:paraId="7B659E06">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p>
    <w:p w14:paraId="7609E260">
      <w:pPr>
        <w:rPr>
          <w:color w:val="auto"/>
        </w:rPr>
      </w:pPr>
    </w:p>
    <w:p w14:paraId="1CFA3500">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YTU5YTZmZDE1ZDA5NWQ3ZGNlNzNlZGM1YWIyZjYifQ=="/>
  </w:docVars>
  <w:rsids>
    <w:rsidRoot w:val="32D6217F"/>
    <w:rsid w:val="0123016A"/>
    <w:rsid w:val="05FC2D0A"/>
    <w:rsid w:val="0CD410CF"/>
    <w:rsid w:val="170C7DE6"/>
    <w:rsid w:val="17D9631A"/>
    <w:rsid w:val="1D2B708E"/>
    <w:rsid w:val="20654F28"/>
    <w:rsid w:val="2C3F0944"/>
    <w:rsid w:val="323207E1"/>
    <w:rsid w:val="32D6217F"/>
    <w:rsid w:val="3B884807"/>
    <w:rsid w:val="55D84DFC"/>
    <w:rsid w:val="5A60267B"/>
    <w:rsid w:val="5A9908E0"/>
    <w:rsid w:val="5D4B68A3"/>
    <w:rsid w:val="76F15BCF"/>
    <w:rsid w:val="76FE6E63"/>
    <w:rsid w:val="79C22EBA"/>
    <w:rsid w:val="7AE9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标题行"/>
    <w:qFormat/>
    <w:uiPriority w:val="0"/>
    <w:pPr>
      <w:spacing w:line="320" w:lineRule="exact"/>
      <w:jc w:val="center"/>
    </w:pPr>
    <w:rPr>
      <w:rFonts w:ascii="黑体" w:hAnsi="黑体" w:eastAsia="黑体" w:cs="Times New Roman"/>
      <w:kern w:val="2"/>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4949</Words>
  <Characters>5188</Characters>
  <Lines>0</Lines>
  <Paragraphs>0</Paragraphs>
  <TotalTime>0</TotalTime>
  <ScaleCrop>false</ScaleCrop>
  <LinksUpToDate>false</LinksUpToDate>
  <CharactersWithSpaces>5194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2024-10-17T03:13:00Z</dcterms:created>
  <dc:creator>FFF</dc:creator>
  <cp:lastModifiedBy>Administrator</cp:lastModifiedBy>
  <dcterms:modified xsi:type="dcterms:W3CDTF">2024-10-23T05:55:20Z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2227E746ACC04252BEABAE9A4FC7FC23_13</vt:lpwstr>
  </property>
</Properties>
</file>