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84" w:lineRule="atLeast"/>
        <w:ind w:left="0" w:right="0"/>
        <w:jc w:val="center"/>
        <w:rPr>
          <w:sz w:val="44"/>
          <w:szCs w:val="44"/>
        </w:rPr>
      </w:pPr>
      <w:r>
        <w:rPr>
          <w:rFonts w:ascii="方正小标宋简体" w:hAnsi="方正小标宋简体" w:eastAsia="方正小标宋简体" w:cs="方正小标宋简体"/>
          <w:color w:val="333333"/>
          <w:spacing w:val="12"/>
          <w:sz w:val="44"/>
          <w:szCs w:val="44"/>
        </w:rPr>
        <w:t>泰山区应急管理局</w:t>
      </w:r>
      <w:r>
        <w:rPr>
          <w:rFonts w:hint="eastAsia" w:ascii="方正小标宋简体" w:hAnsi="方正小标宋简体" w:eastAsia="方正小标宋简体" w:cs="方正小标宋简体"/>
          <w:color w:val="333333"/>
          <w:spacing w:val="12"/>
          <w:sz w:val="44"/>
          <w:szCs w:val="44"/>
        </w:rPr>
        <w:t>202</w:t>
      </w:r>
      <w:r>
        <w:rPr>
          <w:rFonts w:hint="eastAsia" w:ascii="方正小标宋简体" w:hAnsi="方正小标宋简体" w:eastAsia="方正小标宋简体" w:cs="方正小标宋简体"/>
          <w:color w:val="333333"/>
          <w:spacing w:val="12"/>
          <w:sz w:val="44"/>
          <w:szCs w:val="44"/>
          <w:lang w:val="en-US" w:eastAsia="zh-CN"/>
        </w:rPr>
        <w:t>2</w:t>
      </w:r>
      <w:r>
        <w:rPr>
          <w:rFonts w:hint="eastAsia" w:ascii="方正小标宋简体" w:hAnsi="方正小标宋简体" w:eastAsia="方正小标宋简体" w:cs="方正小标宋简体"/>
          <w:color w:val="333333"/>
          <w:spacing w:val="12"/>
          <w:sz w:val="44"/>
          <w:szCs w:val="44"/>
        </w:rPr>
        <w:t>年政府信息公开工作年度报告</w:t>
      </w:r>
    </w:p>
    <w:p>
      <w:pPr>
        <w:pStyle w:val="2"/>
        <w:keepNext w:val="0"/>
        <w:keepLines w:val="0"/>
        <w:widowControl/>
        <w:suppressLineNumbers w:val="0"/>
        <w:spacing w:before="0" w:beforeAutospacing="0" w:after="0" w:afterAutospacing="0"/>
        <w:ind w:right="0"/>
        <w:jc w:val="left"/>
        <w:rPr>
          <w:rFonts w:hint="eastAsia" w:ascii="仿宋" w:hAnsi="仿宋" w:eastAsia="仿宋" w:cs="仿宋"/>
          <w:sz w:val="25"/>
          <w:szCs w:val="25"/>
        </w:rPr>
      </w:pPr>
    </w:p>
    <w:p>
      <w:pPr>
        <w:pStyle w:val="2"/>
        <w:keepNext w:val="0"/>
        <w:keepLines w:val="0"/>
        <w:widowControl/>
        <w:suppressLineNumbers w:val="0"/>
        <w:spacing w:before="0" w:beforeAutospacing="0" w:after="0" w:afterAutospacing="0"/>
        <w:ind w:right="0" w:firstLine="500" w:firstLineChars="200"/>
        <w:jc w:val="left"/>
        <w:rPr>
          <w:rFonts w:hint="eastAsia" w:ascii="仿宋" w:hAnsi="仿宋" w:eastAsia="仿宋" w:cs="仿宋"/>
          <w:sz w:val="25"/>
          <w:szCs w:val="25"/>
        </w:rPr>
      </w:pPr>
      <w:r>
        <w:rPr>
          <w:rFonts w:hint="eastAsia" w:ascii="仿宋" w:hAnsi="仿宋" w:eastAsia="仿宋" w:cs="仿宋"/>
          <w:sz w:val="25"/>
          <w:szCs w:val="25"/>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自2022年1月1日起至2022年12月31日止。</w:t>
      </w:r>
    </w:p>
    <w:p>
      <w:pPr>
        <w:pStyle w:val="2"/>
        <w:keepNext w:val="0"/>
        <w:keepLines w:val="0"/>
        <w:widowControl/>
        <w:suppressLineNumbers w:val="0"/>
        <w:spacing w:before="0" w:beforeAutospacing="0" w:after="0" w:afterAutospacing="0"/>
        <w:ind w:left="0" w:right="0" w:firstLine="516"/>
        <w:jc w:val="left"/>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总体情况</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1.主动公开。2022年，泰山区应急管理局通过区政府信息公开平台主动向社会公开政府信息90条，主要涉及安全生产、应急管理、防灾减灾救灾等工作信息。</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2.依申请公开。2022年我局未接收到依申请公开件。</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区应急管理局认真贯彻落实政府信息公开制度，畅通信息公开渠道，简化信息公开申请流程，积极落实信息公开动态调整制度，切实满足群众信息公开需求。</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3.政府信息管理。区应急管理局认真贯彻执行《中华人民共和国政府信息公开条例》和区政府信息公开各项制度，高度重视政务公开工作，列入单位议事日程，贯穿延伸到各项工作中去，确保公开信息依法、及时、全面和准确性。</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4.政府信息公开平台建设。围绕安全生产、应急管理、防震减灾救灾等，做好政策法规公开及解读、单位工作进展落实情况、群众关心关切问题的回应等利用泰山区应急管理局微信公众号向社会公开。</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5.监督保障。明确局办公室为政务公开工作责任部门，并指定专职人员具体负责政务公开日常工作，做好牵头协调和监督检查。日常加强政务信息公开自查及整改，对区政务公开办公室、第三方测评中指出的问题，均按要求及时整改到位，保证公开全面真实、及时有效、快捷便民。</w:t>
      </w:r>
    </w:p>
    <w:p>
      <w:pPr>
        <w:pStyle w:val="2"/>
        <w:keepNext w:val="0"/>
        <w:keepLines w:val="0"/>
        <w:widowControl/>
        <w:suppressLineNumbers w:val="0"/>
        <w:spacing w:before="0" w:beforeAutospacing="0" w:after="0" w:afterAutospacing="0"/>
        <w:ind w:left="0" w:right="0" w:firstLine="516"/>
        <w:jc w:val="left"/>
        <w:rPr>
          <w:rFonts w:hint="eastAsia" w:ascii="黑体" w:hAnsi="黑体" w:eastAsia="黑体" w:cs="黑体"/>
          <w:sz w:val="32"/>
          <w:szCs w:val="32"/>
        </w:rPr>
      </w:pPr>
      <w:r>
        <w:rPr>
          <w:rFonts w:hint="eastAsia" w:ascii="黑体" w:hAnsi="黑体" w:eastAsia="黑体" w:cs="黑体"/>
          <w:sz w:val="32"/>
          <w:szCs w:val="32"/>
        </w:rPr>
        <w:t>二、主动公开政府信息情况</w:t>
      </w:r>
    </w:p>
    <w:p>
      <w:pPr>
        <w:pStyle w:val="2"/>
        <w:keepNext w:val="0"/>
        <w:keepLines w:val="0"/>
        <w:widowControl/>
        <w:suppressLineNumbers w:val="0"/>
      </w:pPr>
    </w:p>
    <w:tbl>
      <w:tblPr>
        <w:tblW w:w="5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5640" w:type="dxa"/>
            <w:gridSpan w:val="4"/>
            <w:tcBorders>
              <w:top w:val="single" w:color="auto" w:sz="4" w:space="0"/>
              <w:left w:val="single" w:color="auto" w:sz="4" w:space="0"/>
              <w:bottom w:val="single" w:color="auto" w:sz="4" w:space="0"/>
              <w:right w:val="single" w:color="000000" w:sz="4" w:space="0"/>
            </w:tcBorders>
            <w:shd w:val="clear" w:color="auto" w:fill="C6D9F1"/>
            <w:tcMar>
              <w:top w:w="0" w:type="dxa"/>
              <w:left w:w="72" w:type="dxa"/>
              <w:bottom w:w="0" w:type="dxa"/>
              <w:right w:w="72" w:type="dxa"/>
            </w:tcMar>
            <w:vAlign w:val="center"/>
          </w:tcPr>
          <w:p>
            <w:pPr>
              <w:pStyle w:val="2"/>
              <w:keepNext w:val="0"/>
              <w:keepLines w:val="0"/>
              <w:widowControl/>
              <w:suppressLineNumbers w:val="0"/>
              <w:jc w:val="left"/>
            </w:pPr>
            <w:r>
              <w:rPr>
                <w:rFonts w:ascii="sans-serif" w:hAnsi="sans-serif" w:eastAsia="sans-serif" w:cs="sans-serif"/>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信息内容</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本年制发件数</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本年废止件数</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规章</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 　</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行政规范性文件</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 　</w:t>
            </w:r>
          </w:p>
        </w:tc>
        <w:tc>
          <w:tcPr>
            <w:tcW w:w="1416"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5640" w:type="dxa"/>
            <w:gridSpan w:val="4"/>
            <w:tcBorders>
              <w:top w:val="nil"/>
              <w:left w:val="single" w:color="auto" w:sz="4" w:space="0"/>
              <w:bottom w:val="single" w:color="auto" w:sz="4" w:space="0"/>
              <w:right w:val="single" w:color="000000" w:sz="4" w:space="0"/>
            </w:tcBorders>
            <w:shd w:val="clear" w:color="auto" w:fill="C6D9F1"/>
            <w:tcMar>
              <w:top w:w="0" w:type="dxa"/>
              <w:left w:w="72" w:type="dxa"/>
              <w:bottom w:w="0" w:type="dxa"/>
              <w:right w:w="72" w:type="dxa"/>
            </w:tcMar>
            <w:vAlign w:val="center"/>
          </w:tcPr>
          <w:p>
            <w:pPr>
              <w:pStyle w:val="2"/>
              <w:keepNext w:val="0"/>
              <w:keepLines w:val="0"/>
              <w:widowControl/>
              <w:suppressLineNumbers w:val="0"/>
              <w:jc w:val="left"/>
            </w:pPr>
            <w:r>
              <w:rPr>
                <w:rFonts w:hint="default" w:ascii="sans-serif" w:hAnsi="sans-serif" w:eastAsia="sans-serif" w:cs="sans-serif"/>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信息内容</w:t>
            </w:r>
          </w:p>
        </w:tc>
        <w:tc>
          <w:tcPr>
            <w:tcW w:w="4236" w:type="dxa"/>
            <w:gridSpan w:val="3"/>
            <w:tcBorders>
              <w:top w:val="single" w:color="auto" w:sz="4" w:space="0"/>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行政许可</w:t>
            </w:r>
          </w:p>
        </w:tc>
        <w:tc>
          <w:tcPr>
            <w:tcW w:w="4236" w:type="dxa"/>
            <w:gridSpan w:val="3"/>
            <w:tcBorders>
              <w:top w:val="nil"/>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5640" w:type="dxa"/>
            <w:gridSpan w:val="4"/>
            <w:tcBorders>
              <w:top w:val="nil"/>
              <w:left w:val="single" w:color="auto" w:sz="4" w:space="0"/>
              <w:bottom w:val="single" w:color="auto" w:sz="4" w:space="0"/>
              <w:right w:val="single" w:color="000000" w:sz="4" w:space="0"/>
            </w:tcBorders>
            <w:shd w:val="clear" w:color="auto" w:fill="C6D9F1"/>
            <w:tcMar>
              <w:top w:w="0" w:type="dxa"/>
              <w:left w:w="72" w:type="dxa"/>
              <w:bottom w:w="0" w:type="dxa"/>
              <w:right w:w="72" w:type="dxa"/>
            </w:tcMar>
            <w:vAlign w:val="center"/>
          </w:tcPr>
          <w:p>
            <w:pPr>
              <w:pStyle w:val="2"/>
              <w:keepNext w:val="0"/>
              <w:keepLines w:val="0"/>
              <w:widowControl/>
              <w:suppressLineNumbers w:val="0"/>
              <w:jc w:val="left"/>
            </w:pPr>
            <w:r>
              <w:rPr>
                <w:rFonts w:hint="default" w:ascii="sans-serif" w:hAnsi="sans-serif" w:eastAsia="sans-serif" w:cs="sans-serif"/>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信息内容</w:t>
            </w:r>
          </w:p>
        </w:tc>
        <w:tc>
          <w:tcPr>
            <w:tcW w:w="4236" w:type="dxa"/>
            <w:gridSpan w:val="3"/>
            <w:tcBorders>
              <w:top w:val="single" w:color="auto" w:sz="4" w:space="0"/>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行政处罚</w:t>
            </w:r>
          </w:p>
        </w:tc>
        <w:tc>
          <w:tcPr>
            <w:tcW w:w="4236" w:type="dxa"/>
            <w:gridSpan w:val="3"/>
            <w:tcBorders>
              <w:top w:val="nil"/>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行政强制</w:t>
            </w:r>
          </w:p>
        </w:tc>
        <w:tc>
          <w:tcPr>
            <w:tcW w:w="4236" w:type="dxa"/>
            <w:gridSpan w:val="3"/>
            <w:tcBorders>
              <w:top w:val="nil"/>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5640" w:type="dxa"/>
            <w:gridSpan w:val="4"/>
            <w:tcBorders>
              <w:top w:val="nil"/>
              <w:left w:val="single" w:color="auto" w:sz="4" w:space="0"/>
              <w:bottom w:val="single" w:color="auto" w:sz="4" w:space="0"/>
              <w:right w:val="single" w:color="000000" w:sz="4" w:space="0"/>
            </w:tcBorders>
            <w:shd w:val="clear" w:color="auto" w:fill="C6D9F1"/>
            <w:tcMar>
              <w:top w:w="0" w:type="dxa"/>
              <w:left w:w="72" w:type="dxa"/>
              <w:bottom w:w="0" w:type="dxa"/>
              <w:right w:w="72" w:type="dxa"/>
            </w:tcMar>
            <w:vAlign w:val="center"/>
          </w:tcPr>
          <w:p>
            <w:pPr>
              <w:pStyle w:val="2"/>
              <w:keepNext w:val="0"/>
              <w:keepLines w:val="0"/>
              <w:widowControl/>
              <w:suppressLineNumbers w:val="0"/>
              <w:jc w:val="left"/>
            </w:pPr>
            <w:r>
              <w:rPr>
                <w:rFonts w:hint="default" w:ascii="sans-serif" w:hAnsi="sans-serif" w:eastAsia="sans-serif" w:cs="sans-serif"/>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信息内容</w:t>
            </w:r>
          </w:p>
        </w:tc>
        <w:tc>
          <w:tcPr>
            <w:tcW w:w="4236" w:type="dxa"/>
            <w:gridSpan w:val="3"/>
            <w:tcBorders>
              <w:top w:val="single" w:color="auto" w:sz="4" w:space="0"/>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0" w:hRule="atLeast"/>
          <w:jc w:val="center"/>
        </w:trPr>
        <w:tc>
          <w:tcPr>
            <w:tcW w:w="1416"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行政事业性收费</w:t>
            </w:r>
          </w:p>
        </w:tc>
        <w:tc>
          <w:tcPr>
            <w:tcW w:w="4236" w:type="dxa"/>
            <w:gridSpan w:val="3"/>
            <w:tcBorders>
              <w:top w:val="nil"/>
              <w:left w:val="nil"/>
              <w:bottom w:val="single" w:color="auto" w:sz="4" w:space="0"/>
              <w:right w:val="single" w:color="000000"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bl>
    <w:p>
      <w:pPr>
        <w:pStyle w:val="2"/>
        <w:keepNext w:val="0"/>
        <w:keepLines w:val="0"/>
        <w:widowControl/>
        <w:suppressLineNumbers w:val="0"/>
      </w:pPr>
    </w:p>
    <w:p>
      <w:pPr>
        <w:pStyle w:val="2"/>
        <w:keepNext w:val="0"/>
        <w:keepLines w:val="0"/>
        <w:widowControl/>
        <w:suppressLineNumbers w:val="0"/>
        <w:spacing w:before="0" w:beforeAutospacing="0" w:after="0" w:afterAutospacing="0"/>
        <w:ind w:left="0" w:right="0" w:firstLine="516"/>
        <w:jc w:val="left"/>
      </w:pPr>
      <w:r>
        <w:rPr>
          <w:rFonts w:hint="eastAsia" w:ascii="黑体" w:hAnsi="黑体" w:eastAsia="黑体" w:cs="黑体"/>
          <w:sz w:val="32"/>
          <w:szCs w:val="32"/>
        </w:rPr>
        <w:t>三、收到和处理政府信息公开申请情况</w:t>
      </w:r>
      <w:bookmarkStart w:id="9" w:name="_GoBack"/>
      <w:bookmarkEnd w:id="9"/>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3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708"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567"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851" w:type="dxa"/>
            <w:shd w:val="clear" w:color="auto" w:fill="auto"/>
            <w:tcMar>
              <w:left w:w="108" w:type="dxa"/>
              <w:right w:w="108" w:type="dxa"/>
            </w:tcMar>
            <w:vAlign w:val="center"/>
          </w:tcPr>
          <w:p>
            <w:pPr>
              <w:pStyle w:val="2"/>
              <w:keepNext w:val="0"/>
              <w:keepLines w:val="0"/>
              <w:widowControl/>
              <w:suppressLineNumbers w:val="0"/>
              <w:jc w:val="center"/>
              <w:rPr>
                <w:rFonts w:hint="eastAsia"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2"/>
        <w:keepNext w:val="0"/>
        <w:keepLines w:val="0"/>
        <w:widowControl/>
        <w:suppressLineNumbers w:val="0"/>
        <w:spacing w:before="0" w:beforeAutospacing="0" w:after="0" w:afterAutospacing="0"/>
        <w:ind w:left="0" w:right="0" w:firstLine="516"/>
        <w:jc w:val="left"/>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pStyle w:val="2"/>
        <w:keepNext w:val="0"/>
        <w:keepLines w:val="0"/>
        <w:widowControl/>
        <w:suppressLineNumbers w:val="0"/>
      </w:pPr>
    </w:p>
    <w:tbl>
      <w:tblPr>
        <w:tblW w:w="580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84"/>
        <w:gridCol w:w="384"/>
        <w:gridCol w:w="384"/>
        <w:gridCol w:w="384"/>
        <w:gridCol w:w="432"/>
        <w:gridCol w:w="360"/>
        <w:gridCol w:w="384"/>
        <w:gridCol w:w="384"/>
        <w:gridCol w:w="384"/>
        <w:gridCol w:w="384"/>
        <w:gridCol w:w="384"/>
        <w:gridCol w:w="384"/>
        <w:gridCol w:w="384"/>
        <w:gridCol w:w="384"/>
        <w:gridCol w:w="4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 w:hRule="atLeast"/>
        </w:trPr>
        <w:tc>
          <w:tcPr>
            <w:tcW w:w="1968" w:type="dxa"/>
            <w:gridSpan w:val="5"/>
            <w:tcBorders>
              <w:top w:val="single" w:color="auto" w:sz="4" w:space="0"/>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行政复议</w:t>
            </w:r>
          </w:p>
        </w:tc>
        <w:tc>
          <w:tcPr>
            <w:tcW w:w="3840" w:type="dxa"/>
            <w:gridSpan w:val="10"/>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348" w:hRule="atLeast"/>
        </w:trPr>
        <w:tc>
          <w:tcPr>
            <w:tcW w:w="384" w:type="dxa"/>
            <w:vMerge w:val="restart"/>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w:t>
            </w:r>
          </w:p>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维持</w:t>
            </w:r>
          </w:p>
        </w:tc>
        <w:tc>
          <w:tcPr>
            <w:tcW w:w="384" w:type="dxa"/>
            <w:vMerge w:val="restart"/>
            <w:tcBorders>
              <w:top w:val="nil"/>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结果纠正</w:t>
            </w:r>
          </w:p>
        </w:tc>
        <w:tc>
          <w:tcPr>
            <w:tcW w:w="384" w:type="dxa"/>
            <w:vMerge w:val="restart"/>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其他结果</w:t>
            </w:r>
          </w:p>
        </w:tc>
        <w:tc>
          <w:tcPr>
            <w:tcW w:w="384" w:type="dxa"/>
            <w:vMerge w:val="restart"/>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尚未</w:t>
            </w:r>
          </w:p>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审结</w:t>
            </w:r>
          </w:p>
        </w:tc>
        <w:tc>
          <w:tcPr>
            <w:tcW w:w="420" w:type="dxa"/>
            <w:vMerge w:val="restart"/>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总</w:t>
            </w:r>
          </w:p>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计</w:t>
            </w:r>
          </w:p>
        </w:tc>
        <w:tc>
          <w:tcPr>
            <w:tcW w:w="1896" w:type="dxa"/>
            <w:gridSpan w:val="5"/>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未经复议直接起诉</w:t>
            </w:r>
          </w:p>
        </w:tc>
        <w:tc>
          <w:tcPr>
            <w:tcW w:w="1944" w:type="dxa"/>
            <w:gridSpan w:val="5"/>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76" w:hRule="atLeast"/>
        </w:trPr>
        <w:tc>
          <w:tcPr>
            <w:tcW w:w="384" w:type="dxa"/>
            <w:vMerge w:val="continue"/>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p>
        </w:tc>
        <w:tc>
          <w:tcPr>
            <w:tcW w:w="384" w:type="dxa"/>
            <w:vMerge w:val="continue"/>
            <w:tcBorders>
              <w:top w:val="nil"/>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p>
        </w:tc>
        <w:tc>
          <w:tcPr>
            <w:tcW w:w="384"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p>
        </w:tc>
        <w:tc>
          <w:tcPr>
            <w:tcW w:w="384"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p>
        </w:tc>
        <w:tc>
          <w:tcPr>
            <w:tcW w:w="420" w:type="dxa"/>
            <w:vMerge w:val="continue"/>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rPr>
                <w:rFonts w:hint="default" w:ascii="仿宋_GB2312" w:hAnsi="Times New Roman" w:eastAsia="仿宋_GB2312" w:cstheme="minorBidi"/>
                <w:color w:val="auto"/>
                <w:kern w:val="2"/>
                <w:sz w:val="21"/>
                <w:szCs w:val="21"/>
                <w:lang w:val="en-US" w:eastAsia="zh-CN" w:bidi="ar-SA"/>
              </w:rPr>
            </w:pPr>
          </w:p>
        </w:tc>
        <w:tc>
          <w:tcPr>
            <w:tcW w:w="360"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结果维持</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结果纠正</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其他</w:t>
            </w:r>
          </w:p>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尚未</w:t>
            </w:r>
          </w:p>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审结</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总计</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结果维持</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w:t>
            </w:r>
          </w:p>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纠正</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其他</w:t>
            </w:r>
          </w:p>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结果</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尚未审结</w:t>
            </w:r>
          </w:p>
        </w:tc>
        <w:tc>
          <w:tcPr>
            <w:tcW w:w="384" w:type="dxa"/>
            <w:tcBorders>
              <w:top w:val="single" w:color="auto" w:sz="4" w:space="0"/>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left"/>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84" w:type="dxa"/>
            <w:tcBorders>
              <w:top w:val="nil"/>
              <w:left w:val="single" w:color="auto" w:sz="4" w:space="0"/>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420"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60"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c>
          <w:tcPr>
            <w:tcW w:w="384" w:type="dxa"/>
            <w:tcBorders>
              <w:top w:val="nil"/>
              <w:left w:val="nil"/>
              <w:bottom w:val="single" w:color="auto" w:sz="4" w:space="0"/>
              <w:right w:val="single" w:color="auto" w:sz="4" w:space="0"/>
            </w:tcBorders>
            <w:shd w:val="clear"/>
            <w:tcMar>
              <w:top w:w="0" w:type="dxa"/>
              <w:left w:w="72" w:type="dxa"/>
              <w:bottom w:w="0" w:type="dxa"/>
              <w:right w:w="72" w:type="dxa"/>
            </w:tcMar>
            <w:vAlign w:val="center"/>
          </w:tcPr>
          <w:p>
            <w:pPr>
              <w:pStyle w:val="2"/>
              <w:keepNext w:val="0"/>
              <w:keepLines w:val="0"/>
              <w:widowControl/>
              <w:suppressLineNumbers w:val="0"/>
              <w:jc w:val="center"/>
              <w:rPr>
                <w:rFonts w:hint="default" w:ascii="仿宋_GB2312" w:hAnsi="Times New Roman" w:eastAsia="仿宋_GB2312" w:cstheme="minorBidi"/>
                <w:color w:val="auto"/>
                <w:kern w:val="2"/>
                <w:sz w:val="21"/>
                <w:szCs w:val="21"/>
                <w:lang w:val="en-US" w:eastAsia="zh-CN" w:bidi="ar-SA"/>
              </w:rPr>
            </w:pPr>
            <w:r>
              <w:rPr>
                <w:rFonts w:hint="default" w:ascii="仿宋_GB2312" w:hAnsi="Times New Roman" w:eastAsia="仿宋_GB2312" w:cstheme="minorBidi"/>
                <w:color w:val="auto"/>
                <w:kern w:val="2"/>
                <w:sz w:val="21"/>
                <w:szCs w:val="21"/>
                <w:lang w:val="en-US" w:eastAsia="zh-CN" w:bidi="ar-SA"/>
              </w:rPr>
              <w:t>0</w:t>
            </w:r>
          </w:p>
        </w:tc>
      </w:tr>
    </w:tbl>
    <w:p>
      <w:pPr>
        <w:pStyle w:val="2"/>
        <w:keepNext w:val="0"/>
        <w:keepLines w:val="0"/>
        <w:widowControl/>
        <w:suppressLineNumbers w:val="0"/>
      </w:pPr>
    </w:p>
    <w:p>
      <w:pPr>
        <w:pStyle w:val="2"/>
        <w:keepNext w:val="0"/>
        <w:keepLines w:val="0"/>
        <w:widowControl/>
        <w:suppressLineNumbers w:val="0"/>
        <w:spacing w:before="0" w:beforeAutospacing="0" w:after="0" w:afterAutospacing="0"/>
        <w:ind w:left="0" w:right="0" w:firstLine="516"/>
        <w:jc w:val="left"/>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2022 年，区应急管理局政府信息公开工作在深化政府信息公开内容、完善政务信息公开配套工作，加强政务信息公开等方面取得了一些成绩，但与《中华人民共和国政府信息公开条例》的规定和公众的要求仍有一定差距。2023年我单位将继续认真学习领会中共中央国务院指示精神，深入贯彻落实中央关于改进工作作风、加强政府自身建设、推动国家治理体系和治理能力现代化的有关规定，着力从以下几个方面改进工作：</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一是创新公开方式，不断深化公开实效。在充分运用网站、政务新媒体的基础上，进一步拓宽信息公开渠道，畅通与公众互动的渠道，积极运用主流媒体、新闻发布会等形式进行主动公开，不断提高公开的质量。</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二是进一步增强政府信息公开的实效性，全面、主动地公开涉及群众切身利益和公共政策的安全生产和防灾减灾事项，及时发布预警信息，有效地发挥政府信息公开的作用。</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三是加强政策解读，做好政策宣传工作，及时发布政策文件解读，提升社会、公众满意度。</w:t>
      </w:r>
    </w:p>
    <w:p>
      <w:pPr>
        <w:pStyle w:val="2"/>
        <w:keepNext w:val="0"/>
        <w:keepLines w:val="0"/>
        <w:widowControl/>
        <w:suppressLineNumbers w:val="0"/>
        <w:spacing w:before="0" w:beforeAutospacing="0" w:after="0" w:afterAutospacing="0"/>
        <w:ind w:left="0" w:right="0" w:firstLine="516"/>
        <w:jc w:val="left"/>
        <w:rPr>
          <w:rFonts w:hint="eastAsia" w:ascii="黑体" w:hAnsi="黑体" w:eastAsia="黑体" w:cs="黑体"/>
          <w:sz w:val="32"/>
          <w:szCs w:val="32"/>
        </w:rPr>
      </w:pPr>
      <w:r>
        <w:rPr>
          <w:rFonts w:hint="eastAsia" w:ascii="黑体" w:hAnsi="黑体" w:eastAsia="黑体" w:cs="黑体"/>
          <w:sz w:val="32"/>
          <w:szCs w:val="32"/>
        </w:rPr>
        <w:t>六、其他需要报告的事项</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1.收取信息处理费的情况。依据《政府信息公开信息处理费管理办法》，我局本年度没有收取信息公开处理费。</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2.落实上级年度政务公开工作要点情况。区应急管理局严格按照国家、省、市、区关于全面推进政务公开的要求，不断夯实平台管理工作基础，做好与区政府政务公开办的沟通，持续提高政务公开的规范化水平，抓好工作落实。</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3.人大建议、政协提案办理情况。我局本年度没有人大建议、政协提案办理情况。</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r>
        <w:rPr>
          <w:rFonts w:hint="eastAsia" w:ascii="仿宋" w:hAnsi="仿宋" w:eastAsia="仿宋" w:cs="仿宋"/>
          <w:sz w:val="25"/>
          <w:szCs w:val="25"/>
        </w:rPr>
        <w:t>4.年度政务公开工作创新情况。2022年，我局深入贯彻区政府关于政府信息公开工作的安排部署，提高信息公开责任意识。加强对本部门政府信息公开人员的教育培训，促进增强做好政府信息公开工作的责任感、紧迫感，全面提高政府信息公开工作水平。 </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p>
    <w:p>
      <w:pPr>
        <w:pStyle w:val="2"/>
        <w:keepNext w:val="0"/>
        <w:keepLines w:val="0"/>
        <w:widowControl/>
        <w:suppressLineNumbers w:val="0"/>
        <w:spacing w:before="0" w:beforeAutospacing="0" w:after="0" w:afterAutospacing="0" w:line="384" w:lineRule="atLeast"/>
        <w:ind w:left="0" w:right="0" w:firstLine="408"/>
        <w:jc w:val="both"/>
        <w:rPr>
          <w:rFonts w:hint="eastAsia" w:ascii="仿宋" w:hAnsi="仿宋" w:eastAsia="仿宋" w:cs="仿宋"/>
          <w:sz w:val="25"/>
          <w:szCs w:val="25"/>
        </w:rPr>
      </w:pPr>
      <w:r>
        <w:rPr>
          <w:rFonts w:hint="eastAsia" w:ascii="宋体" w:hAnsi="宋体" w:eastAsia="宋体" w:cs="宋体"/>
          <w:color w:val="333333"/>
          <w:sz w:val="20"/>
          <w:szCs w:val="20"/>
        </w:rPr>
        <w:t> </w:t>
      </w:r>
      <w:r>
        <w:rPr>
          <w:rFonts w:hint="eastAsia" w:ascii="宋体" w:hAnsi="宋体" w:eastAsia="宋体" w:cs="宋体"/>
          <w:color w:val="333333"/>
          <w:sz w:val="20"/>
          <w:szCs w:val="20"/>
          <w:lang w:val="en-US" w:eastAsia="zh-CN"/>
        </w:rPr>
        <w:t xml:space="preserve">                                          </w:t>
      </w:r>
      <w:r>
        <w:rPr>
          <w:rFonts w:hint="eastAsia" w:ascii="宋体" w:hAnsi="宋体" w:eastAsia="宋体" w:cs="宋体"/>
          <w:color w:val="333333"/>
          <w:sz w:val="20"/>
          <w:szCs w:val="20"/>
        </w:rPr>
        <w:t> </w:t>
      </w:r>
      <w:r>
        <w:rPr>
          <w:rFonts w:hint="eastAsia" w:ascii="仿宋" w:hAnsi="仿宋" w:eastAsia="仿宋" w:cs="仿宋"/>
          <w:sz w:val="25"/>
          <w:szCs w:val="25"/>
        </w:rPr>
        <w:t>泰安市泰山区应急管理局</w:t>
      </w:r>
    </w:p>
    <w:p>
      <w:pPr>
        <w:pStyle w:val="2"/>
        <w:keepNext w:val="0"/>
        <w:keepLines w:val="0"/>
        <w:widowControl/>
        <w:suppressLineNumbers w:val="0"/>
        <w:spacing w:before="0" w:beforeAutospacing="0" w:after="0" w:afterAutospacing="0" w:line="384" w:lineRule="atLeast"/>
        <w:ind w:left="0" w:right="0" w:firstLine="408"/>
        <w:jc w:val="both"/>
        <w:rPr>
          <w:rFonts w:hint="eastAsia" w:ascii="仿宋" w:hAnsi="仿宋" w:eastAsia="仿宋" w:cs="仿宋"/>
          <w:sz w:val="25"/>
          <w:szCs w:val="25"/>
        </w:rPr>
      </w:pPr>
      <w:r>
        <w:rPr>
          <w:rFonts w:hint="eastAsia" w:ascii="仿宋" w:hAnsi="仿宋" w:eastAsia="仿宋" w:cs="仿宋"/>
          <w:sz w:val="25"/>
          <w:szCs w:val="25"/>
        </w:rPr>
        <w:t>                                                      </w:t>
      </w:r>
      <w:r>
        <w:rPr>
          <w:rFonts w:hint="eastAsia" w:ascii="仿宋" w:hAnsi="仿宋" w:eastAsia="仿宋" w:cs="仿宋"/>
          <w:sz w:val="25"/>
          <w:szCs w:val="25"/>
          <w:lang w:val="en-US" w:eastAsia="zh-CN"/>
        </w:rPr>
        <w:t xml:space="preserve">         </w:t>
      </w:r>
      <w:r>
        <w:rPr>
          <w:rFonts w:hint="eastAsia" w:ascii="仿宋" w:hAnsi="仿宋" w:eastAsia="仿宋" w:cs="仿宋"/>
          <w:sz w:val="25"/>
          <w:szCs w:val="25"/>
        </w:rPr>
        <w:t>  202</w:t>
      </w:r>
      <w:r>
        <w:rPr>
          <w:rFonts w:hint="eastAsia" w:ascii="仿宋" w:hAnsi="仿宋" w:eastAsia="仿宋" w:cs="仿宋"/>
          <w:sz w:val="25"/>
          <w:szCs w:val="25"/>
          <w:lang w:val="en-US" w:eastAsia="zh-CN"/>
        </w:rPr>
        <w:t>3</w:t>
      </w:r>
      <w:r>
        <w:rPr>
          <w:rFonts w:hint="eastAsia" w:ascii="仿宋" w:hAnsi="仿宋" w:eastAsia="仿宋" w:cs="仿宋"/>
          <w:sz w:val="25"/>
          <w:szCs w:val="25"/>
        </w:rPr>
        <w:t>年</w:t>
      </w:r>
      <w:r>
        <w:rPr>
          <w:rFonts w:hint="default" w:ascii="仿宋" w:hAnsi="仿宋" w:eastAsia="仿宋" w:cs="仿宋"/>
          <w:sz w:val="25"/>
          <w:szCs w:val="25"/>
        </w:rPr>
        <w:t>1</w:t>
      </w:r>
      <w:r>
        <w:rPr>
          <w:rFonts w:hint="eastAsia" w:ascii="仿宋" w:hAnsi="仿宋" w:eastAsia="仿宋" w:cs="仿宋"/>
          <w:sz w:val="25"/>
          <w:szCs w:val="25"/>
        </w:rPr>
        <w:t>月</w:t>
      </w:r>
      <w:r>
        <w:rPr>
          <w:rFonts w:hint="default" w:ascii="仿宋" w:hAnsi="仿宋" w:eastAsia="仿宋" w:cs="仿宋"/>
          <w:sz w:val="25"/>
          <w:szCs w:val="25"/>
        </w:rPr>
        <w:t>1</w:t>
      </w:r>
      <w:r>
        <w:rPr>
          <w:rFonts w:hint="eastAsia" w:ascii="仿宋" w:hAnsi="仿宋" w:eastAsia="仿宋" w:cs="仿宋"/>
          <w:sz w:val="25"/>
          <w:szCs w:val="25"/>
          <w:lang w:val="en-US" w:eastAsia="zh-CN"/>
        </w:rPr>
        <w:t>8</w:t>
      </w:r>
      <w:r>
        <w:rPr>
          <w:rFonts w:hint="eastAsia" w:ascii="仿宋" w:hAnsi="仿宋" w:eastAsia="仿宋" w:cs="仿宋"/>
          <w:sz w:val="25"/>
          <w:szCs w:val="25"/>
        </w:rPr>
        <w:t>日</w:t>
      </w:r>
    </w:p>
    <w:p>
      <w:pPr>
        <w:pStyle w:val="2"/>
        <w:keepNext w:val="0"/>
        <w:keepLines w:val="0"/>
        <w:widowControl/>
        <w:suppressLineNumbers w:val="0"/>
        <w:spacing w:before="0" w:beforeAutospacing="0" w:after="0" w:afterAutospacing="0"/>
        <w:ind w:left="0" w:right="0" w:firstLine="516"/>
        <w:jc w:val="left"/>
        <w:rPr>
          <w:rFonts w:hint="eastAsia" w:ascii="仿宋" w:hAnsi="仿宋" w:eastAsia="仿宋" w:cs="仿宋"/>
          <w:sz w:val="25"/>
          <w:szCs w:val="25"/>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AwNTgxYTU2ODM2NDkwYzcwNDU0OTU4MDM3NTgifQ=="/>
  </w:docVars>
  <w:rsids>
    <w:rsidRoot w:val="00000000"/>
    <w:rsid w:val="70220BCB"/>
    <w:rsid w:val="73604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2310</Words>
  <Characters>2372</Characters>
  <Lines>0</Lines>
  <Paragraphs>0</Paragraphs>
  <TotalTime>0</TotalTime>
  <ScaleCrop>false</ScaleCrop>
  <LinksUpToDate>false</LinksUpToDate>
  <CharactersWithSpaces>2380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2023-02-09T06:59:43Z</dcterms:created>
  <dc:creator>lenovo</dc:creator>
  <cp:lastModifiedBy>lenovo</cp:lastModifiedBy>
  <cp:lastPrinted>2023-02-09T07:20:29Z</cp:lastPrinted>
  <dcterms:modified xsi:type="dcterms:W3CDTF">2023-02-09T07:21:14Z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7E12F72201CF4D9094DB929130827008</vt:lpwstr>
  </property>
</Properties>
</file>