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3109">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经典粗宋简" w:hAnsi="经典粗宋简" w:eastAsia="经典粗宋简" w:cs="经典粗宋简"/>
          <w:color w:val="FF0000"/>
          <w:w w:val="50"/>
          <w:sz w:val="144"/>
          <w:szCs w:val="144"/>
          <w:lang w:val="en-US" w:eastAsia="zh-CN"/>
        </w:rPr>
      </w:pPr>
      <w:r>
        <w:rPr>
          <w:rFonts w:hint="eastAsia" w:ascii="经典粗宋简" w:hAnsi="经典粗宋简" w:eastAsia="经典粗宋简" w:cs="经典粗宋简"/>
          <w:color w:val="FF0000"/>
          <w:w w:val="50"/>
          <w:sz w:val="144"/>
          <w:szCs w:val="144"/>
          <w:lang w:eastAsia="zh-CN"/>
        </w:rPr>
        <w:t>泰安市泰</w:t>
      </w:r>
      <w:r>
        <w:rPr>
          <w:rFonts w:hint="eastAsia" w:ascii="经典粗宋简" w:hAnsi="经典粗宋简" w:eastAsia="经典粗宋简" w:cs="经典粗宋简"/>
          <w:color w:val="FF0000"/>
          <w:w w:val="50"/>
          <w:sz w:val="144"/>
          <w:szCs w:val="144"/>
          <w:lang w:val="en-US" w:eastAsia="zh-CN"/>
        </w:rPr>
        <w:t>山区</w:t>
      </w:r>
      <w:r>
        <w:rPr>
          <w:rFonts w:hint="eastAsia" w:ascii="经典粗宋简" w:hAnsi="经典粗宋简" w:eastAsia="经典粗宋简" w:cs="经典粗宋简"/>
          <w:color w:val="FF0000"/>
          <w:w w:val="50"/>
          <w:sz w:val="144"/>
          <w:szCs w:val="144"/>
          <w:lang w:eastAsia="zh-CN"/>
        </w:rPr>
        <w:t>人民政府文件</w:t>
      </w:r>
    </w:p>
    <w:p w14:paraId="36C4C3F9">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14:paraId="44650316">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小标宋简体" w:cs="Times New Roman"/>
          <w:color w:val="auto"/>
          <w:sz w:val="44"/>
          <w:szCs w:val="44"/>
          <w:lang w:eastAsia="zh-CN"/>
        </w:rPr>
      </w:pPr>
    </w:p>
    <w:p w14:paraId="7C8685F2">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泰山政</w:t>
      </w:r>
      <w:r>
        <w:rPr>
          <w:rFonts w:hint="eastAsia" w:ascii="Times New Roman" w:hAnsi="Times New Roman" w:eastAsia="仿宋_GB2312" w:cs="Times New Roman"/>
          <w:color w:val="auto"/>
          <w:sz w:val="32"/>
          <w:szCs w:val="32"/>
          <w:lang w:eastAsia="zh-CN"/>
        </w:rPr>
        <w:t>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号</w:t>
      </w:r>
    </w:p>
    <w:p w14:paraId="5CEE3809">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小标宋简体" w:cs="Times New Roman"/>
          <w:color w:val="auto"/>
          <w:sz w:val="44"/>
          <w:szCs w:val="44"/>
          <w:lang w:eastAsia="zh-CN"/>
        </w:rPr>
      </w:pPr>
      <w:r>
        <w:rPr>
          <w:sz w:val="44"/>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126365</wp:posOffset>
                </wp:positionV>
                <wp:extent cx="5757545" cy="0"/>
                <wp:effectExtent l="0" t="9525" r="14605" b="9525"/>
                <wp:wrapNone/>
                <wp:docPr id="7" name="直接连接符 7"/>
                <wp:cNvGraphicFramePr/>
                <a:graphic xmlns:a="http://schemas.openxmlformats.org/drawingml/2006/main">
                  <a:graphicData uri="http://schemas.microsoft.com/office/word/2010/wordprocessingShape">
                    <wps:wsp>
                      <wps:cNvCnPr/>
                      <wps:spPr>
                        <a:xfrm>
                          <a:off x="941705" y="3555365"/>
                          <a:ext cx="575754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4pt;margin-top:9.95pt;height:0pt;width:453.35pt;z-index:251665408;mso-width-relative:page;mso-height-relative:page;" filled="f" stroked="t" coordsize="21600,21600" o:gfxdata="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JxPk1wAAAAgBAAAPAAAAAAAAAAEAIAAAACIAAABkcnMvZG93bnJldi54bWxQSwECFAAUAAAA&#10;CACHTuJA/XXfsO8BAAC0AwAADgAAAAAAAAABACAAAAAmAQAAZHJzL2Uyb0RvYy54bWxQSwUGAAAA&#10;AAYABgBZAQAAhwUAAAAA&#10;">
                <v:path arrowok="t"/>
                <v:fill on="f" focussize="0,0"/>
                <v:stroke weight="1.5pt" color="#FF0000" joinstyle="round"/>
                <v:imagedata o:title=""/>
                <o:lock v:ext="edit" aspectratio="f"/>
              </v:line>
            </w:pict>
          </mc:Fallback>
        </mc:AlternateContent>
      </w:r>
    </w:p>
    <w:p w14:paraId="24F6B7DA">
      <w:pPr>
        <w:keepNext w:val="0"/>
        <w:keepLines w:val="0"/>
        <w:pageBreakBefore w:val="0"/>
        <w:widowControl w:val="0"/>
        <w:tabs>
          <w:tab w:val="left" w:pos="0"/>
        </w:tabs>
        <w:kinsoku/>
        <w:wordWrap/>
        <w:overflowPunct/>
        <w:topLinePunct w:val="0"/>
        <w:autoSpaceDE/>
        <w:autoSpaceDN/>
        <w:bidi w:val="0"/>
        <w:adjustRightInd/>
        <w:snapToGrid/>
        <w:spacing w:line="700" w:lineRule="exact"/>
        <w:textAlignment w:val="auto"/>
        <w:rPr>
          <w:rFonts w:hint="default" w:ascii="Times New Roman" w:hAnsi="Times New Roman" w:cs="Times New Roman"/>
          <w:sz w:val="32"/>
          <w:szCs w:val="32"/>
        </w:rPr>
      </w:pPr>
      <w:bookmarkStart w:id="0" w:name="_GoBack"/>
      <w:bookmarkEnd w:id="0"/>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110490</wp:posOffset>
                </wp:positionV>
                <wp:extent cx="5748655" cy="0"/>
                <wp:effectExtent l="0" t="9525" r="4445" b="9525"/>
                <wp:wrapNone/>
                <wp:docPr id="1" name="直接连接符 1"/>
                <wp:cNvGraphicFramePr/>
                <a:graphic xmlns:a="http://schemas.openxmlformats.org/drawingml/2006/main">
                  <a:graphicData uri="http://schemas.microsoft.com/office/word/2010/wordprocessingShape">
                    <wps:wsp>
                      <wps:cNvCnPr/>
                      <wps:spPr>
                        <a:xfrm>
                          <a:off x="965835" y="3249295"/>
                          <a:ext cx="57486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pt;margin-top:8.7pt;height:0pt;width:452.65pt;z-index:251661312;mso-width-relative:page;mso-height-relative:page;" filled="f" stroked="t" coordsize="21600,21600" o:gfxdata="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PFMC1wAAAAgBAAAPAAAAAAAAAAEAIAAAACIAAABkcnMvZG93bnJldi54bWxQSwEC&#10;FAAUAAAACACHTuJARwNSMfUBAAC9AwAADgAAAAAAAAABACAAAAAmAQAAZHJzL2Uyb0RvYy54bWxQ&#10;SwUGAAAAAAYABgBZAQAAjQUAAAAA&#10;">
                <v:fill on="f" focussize="0,0"/>
                <v:stroke weight="1.5pt" color="#FFFFFF [3212]" miterlimit="8" joinstyle="miter"/>
                <v:imagedata o:title=""/>
                <o:lock v:ext="edit" aspectratio="f"/>
              </v:line>
            </w:pict>
          </mc:Fallback>
        </mc:AlternateContent>
      </w:r>
    </w:p>
    <w:p w14:paraId="4273B4BE">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eastAsia="黑体" w:cs="Times New Roman"/>
          <w:sz w:val="44"/>
          <w:szCs w:val="44"/>
          <w:lang w:eastAsia="zh-CN"/>
        </w:rPr>
      </w:pPr>
      <w:r>
        <w:rPr>
          <w:rFonts w:hint="default" w:ascii="Times New Roman" w:hAnsi="Times New Roman" w:cs="Times New Roman"/>
          <w:sz w:val="44"/>
          <w:szCs w:val="4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50800</wp:posOffset>
                </wp:positionV>
                <wp:extent cx="5878830" cy="0"/>
                <wp:effectExtent l="0" t="9525" r="7620" b="9525"/>
                <wp:wrapNone/>
                <wp:docPr id="5" name="直接连接符 5"/>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chemeClr val="bg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pt;height:0pt;width:462.9pt;mso-position-horizontal:center;z-index:251660288;mso-width-relative:page;mso-height-relative:page;" filled="f" stroked="t" coordsize="21600,21600" o:gfxdata="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9QUNMAAAAEAQAADwAAAAAAAAABACAAAAAiAAAAZHJzL2Rvd25yZXYueG1sUEsB&#10;AhQAFAAAAAgAh07iQNd04q76AQAA8wMAAA4AAAAAAAAAAQAgAAAAIgEAAGRycy9lMm9Eb2MueG1s&#10;UEsFBgAAAAAGAAYAWQEAAI4FAAAAAA==&#10;">
                <v:fill on="f" focussize="0,0"/>
                <v:stroke weight="1.5pt" color="#FFFFFF [3212]" joinstyle="round"/>
                <v:imagedata o:title=""/>
                <o:lock v:ext="edit" aspectratio="f"/>
              </v:line>
            </w:pict>
          </mc:Fallback>
        </mc:AlternateContent>
      </w:r>
    </w:p>
    <w:p w14:paraId="20CEA0D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泰安市泰山区人民政府</w:t>
      </w:r>
    </w:p>
    <w:p w14:paraId="6F77A1C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val="en-US" w:eastAsia="zh-CN"/>
        </w:rPr>
        <w:t>做好泰山区</w:t>
      </w:r>
      <w:r>
        <w:rPr>
          <w:rFonts w:hint="default" w:ascii="Times New Roman" w:hAnsi="Times New Roman" w:eastAsia="方正小标宋简体" w:cs="Times New Roman"/>
          <w:sz w:val="44"/>
          <w:szCs w:val="44"/>
          <w:lang w:eastAsia="zh-CN"/>
        </w:rPr>
        <w:t>第四次全国文物普查工作</w:t>
      </w:r>
      <w:r>
        <w:rPr>
          <w:rFonts w:hint="default" w:ascii="Times New Roman" w:hAnsi="Times New Roman" w:eastAsia="方正小标宋简体" w:cs="Times New Roman"/>
          <w:sz w:val="44"/>
          <w:szCs w:val="44"/>
          <w:lang w:val="en-US" w:eastAsia="zh-CN"/>
        </w:rPr>
        <w:t>的</w:t>
      </w:r>
    </w:p>
    <w:p w14:paraId="1A67593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通     知</w:t>
      </w:r>
    </w:p>
    <w:p w14:paraId="0B9A66FF">
      <w:pPr>
        <w:pStyle w:val="3"/>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0" w:firstLineChars="0"/>
        <w:textAlignment w:val="baseline"/>
        <w:rPr>
          <w:rFonts w:hint="default" w:ascii="Times New Roman" w:hAnsi="Times New Roman" w:cs="Times New Roman" w:eastAsiaTheme="majorEastAsia"/>
          <w:sz w:val="44"/>
          <w:szCs w:val="44"/>
        </w:rPr>
      </w:pPr>
    </w:p>
    <w:p w14:paraId="02D4D1D4">
      <w:pPr>
        <w:pStyle w:val="3"/>
        <w:keepNext w:val="0"/>
        <w:keepLines w:val="0"/>
        <w:pageBreakBefore w:val="0"/>
        <w:widowControl/>
        <w:kinsoku w:val="0"/>
        <w:wordWrap/>
        <w:overflowPunct/>
        <w:topLinePunct w:val="0"/>
        <w:autoSpaceDE w:val="0"/>
        <w:autoSpaceDN w:val="0"/>
        <w:bidi w:val="0"/>
        <w:adjustRightInd w:val="0"/>
        <w:snapToGrid w:val="0"/>
        <w:spacing w:line="570" w:lineRule="exact"/>
        <w:ind w:left="0" w:leftChars="0" w:firstLine="0" w:firstLineChars="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w:t>
      </w:r>
      <w:r>
        <w:rPr>
          <w:rFonts w:hint="default" w:ascii="Times New Roman" w:hAnsi="Times New Roman" w:eastAsia="仿宋_GB2312" w:cs="Times New Roman"/>
          <w:spacing w:val="0"/>
          <w:sz w:val="32"/>
          <w:szCs w:val="32"/>
          <w:lang w:val="en-US" w:eastAsia="zh-CN"/>
        </w:rPr>
        <w:t>街道办事处、镇（乡）人民政府</w:t>
      </w:r>
      <w:r>
        <w:rPr>
          <w:rFonts w:hint="default" w:ascii="Times New Roman" w:hAnsi="Times New Roman" w:eastAsia="仿宋_GB2312" w:cs="Times New Roman"/>
          <w:spacing w:val="0"/>
          <w:sz w:val="32"/>
          <w:szCs w:val="32"/>
        </w:rPr>
        <w:t>，区</w:t>
      </w:r>
      <w:r>
        <w:rPr>
          <w:rFonts w:hint="default" w:ascii="Times New Roman" w:hAnsi="Times New Roman" w:eastAsia="仿宋_GB2312" w:cs="Times New Roman"/>
          <w:spacing w:val="0"/>
          <w:sz w:val="32"/>
          <w:szCs w:val="32"/>
          <w:lang w:eastAsia="zh-CN"/>
        </w:rPr>
        <w:t>政府</w:t>
      </w:r>
      <w:r>
        <w:rPr>
          <w:rFonts w:hint="default" w:ascii="Times New Roman" w:hAnsi="Times New Roman" w:eastAsia="仿宋_GB2312" w:cs="Times New Roman"/>
          <w:spacing w:val="0"/>
          <w:sz w:val="32"/>
          <w:szCs w:val="32"/>
        </w:rPr>
        <w:t>有关部门、单位：</w:t>
      </w:r>
    </w:p>
    <w:p w14:paraId="2129AAE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党中央决策部署，落实国务院《关于开展第四次全国文物普查的通知》（国发〔2023〕18号）、省政府《关于做好第四次全国文物普查工作的通知》（鲁政发〔2024〕1号）和市政府《关于做好第四次全国文物普查工作的通知》（泰政发〔2024〕16号）的要求，切实做好我区第四次全国文物普查工作，现将有关事项通知如下：</w:t>
      </w:r>
    </w:p>
    <w:p w14:paraId="65C6E73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一、总体要求</w:t>
      </w:r>
    </w:p>
    <w:p w14:paraId="59B2DF1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文物普查是文物事业发展的重要基础性工作，是重大国情国力调查，</w:t>
      </w:r>
      <w:r>
        <w:rPr>
          <w:rFonts w:hint="default" w:ascii="Times New Roman" w:hAnsi="Times New Roman" w:eastAsia="仿宋_GB2312" w:cs="Times New Roman"/>
          <w:sz w:val="32"/>
          <w:szCs w:val="32"/>
          <w:highlight w:val="none"/>
          <w:lang w:val="en-US" w:eastAsia="zh-CN"/>
        </w:rPr>
        <w:t>是落实“保护第一，加强管理、挖掘价值、有效利用、让文物活起来”新时代文物工作方针的重大举措。各级各部门要</w:t>
      </w:r>
      <w:r>
        <w:rPr>
          <w:rFonts w:hint="default" w:ascii="Times New Roman" w:hAnsi="Times New Roman" w:eastAsia="仿宋_GB2312" w:cs="Times New Roman"/>
          <w:sz w:val="32"/>
          <w:szCs w:val="32"/>
          <w:lang w:val="en-US" w:eastAsia="zh-CN"/>
        </w:rPr>
        <w:t>深入学习贯彻落实习近平文化思想，落实习近平总书记关于文物工作的重要论述和指示批示精神，充分认识第四次全国文物普查的重要性、紧迫性和艰巨性，以对党和人民负责、对历史负责、对子孙后代负责的责任心和使命感，</w:t>
      </w:r>
      <w:r>
        <w:rPr>
          <w:rFonts w:hint="default" w:ascii="Times New Roman" w:hAnsi="Times New Roman" w:eastAsia="仿宋_GB2312" w:cs="Times New Roman"/>
          <w:sz w:val="32"/>
          <w:szCs w:val="32"/>
          <w:highlight w:val="none"/>
          <w:lang w:val="en-US" w:eastAsia="zh-CN"/>
        </w:rPr>
        <w:t>强化政治引领，细化政策举措，周密部署安排，全面掌握我区各级各类不可移动文物资源状况，为推动文物事业高质量发展奠定良好基础。</w:t>
      </w:r>
    </w:p>
    <w:p w14:paraId="123F29A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二、普查范围和时间安排</w:t>
      </w:r>
    </w:p>
    <w:p w14:paraId="3FA8C41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（一）普查范围。</w:t>
      </w:r>
      <w:r>
        <w:rPr>
          <w:rFonts w:hint="default" w:ascii="Times New Roman" w:hAnsi="Times New Roman" w:eastAsia="仿宋_GB2312" w:cs="Times New Roman"/>
          <w:sz w:val="32"/>
          <w:szCs w:val="32"/>
          <w:lang w:val="en-US" w:eastAsia="zh-CN"/>
        </w:rPr>
        <w:t>普查范围为我区辖区内地上、地下、水下的不可移动文物，对已认定、登记的不可移动文物进行复查，同时调查、认定、登记新发现的不可移动文物。普查主要内容包括普查对象名称、空间位置、保护级别、文物类别、年代、权属、使用情况、保存状况等。要根据文化遗产保护发展的新趋势，认真做好历史建筑、工业遗产、传统民居、乡土建筑、中华老字号、文化景观等文物类型的登记工作，将更多反映党史、新中国史、改革开放史、社会主义发展史、中华民族发展史的物质文化遗产纳入文物范畴，加强河流湖泊、丘陵等容易遗漏和普查难度较大区域的工作力度。</w:t>
      </w:r>
    </w:p>
    <w:p w14:paraId="3D85372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（二）时间安排。</w:t>
      </w:r>
      <w:r>
        <w:rPr>
          <w:rFonts w:hint="default" w:ascii="Times New Roman" w:hAnsi="Times New Roman" w:eastAsia="仿宋_GB2312" w:cs="Times New Roman"/>
          <w:sz w:val="32"/>
          <w:szCs w:val="32"/>
          <w:lang w:val="en-US" w:eastAsia="zh-CN"/>
        </w:rPr>
        <w:t>普查从2023年11月开始，到2026年6月结束，分为三个阶段：</w:t>
      </w:r>
    </w:p>
    <w:p w14:paraId="79F8298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第一阶段：2023年11月至2024年4月，主要任务是建立各级普查机构，制定实施方案，确定技术标准和规范，配备设备和采集软件，开展培训、试点工作。</w:t>
      </w:r>
    </w:p>
    <w:p w14:paraId="3BAC7B5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第二阶段：2024年5月至2025年5月，主要任务是以各街道、乡镇为基本单元，实地开展文物调查。</w:t>
      </w:r>
    </w:p>
    <w:p w14:paraId="715152F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第三阶段：从2025年6月至2026年5月，主要任务是依法认定、登记并公布不可移动文物，建立我区不可移动文物资源目录，逐级验收并向社会公布普查成果。</w:t>
      </w:r>
    </w:p>
    <w:p w14:paraId="73D2F67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区文化和旅游局要根据普查结果，及时公布本区域内的不可移动文物名录，并根据实际情况将其中具有重要价值的不可移动文物核定公布为相应级别的文物保护单位，加大文物保护力度。</w:t>
      </w:r>
    </w:p>
    <w:p w14:paraId="7695003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三、质量管理</w:t>
      </w:r>
    </w:p>
    <w:p w14:paraId="59D0CFE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（一）强化质量管理。</w:t>
      </w:r>
      <w:r>
        <w:rPr>
          <w:rFonts w:hint="default" w:ascii="Times New Roman" w:hAnsi="Times New Roman" w:eastAsia="仿宋_GB2312" w:cs="Times New Roman"/>
          <w:sz w:val="32"/>
          <w:szCs w:val="32"/>
          <w:lang w:val="en-US" w:eastAsia="zh-CN"/>
        </w:rPr>
        <w:t>要将普查质量控制贯穿于普查全过程，对普查野外达到率和调查区域覆盖率、文物认定标准执行情况、文物信息采集质量、文物认定工作程序等加强质量控制，严格执行普查标准，规范普查工作流程，强化事前事中事后数据质量检查核查，确保普查数据真实准确、完整规范。建立普查数据质量追溯机制，所有普查成果应全部留档，确保全过程可溯源检查。各普查机构及其工作人员要妥善保存普查数据和资料，对普查中涉及的国家秘密履行保密义务。文物行政部门依法开展文物登记、认定和公布，所有复查文物、新发现文物，均应具有认定公布文件。</w:t>
      </w:r>
    </w:p>
    <w:p w14:paraId="38A0A1B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（二）强化责任落实。</w:t>
      </w:r>
      <w:r>
        <w:rPr>
          <w:rFonts w:hint="default" w:ascii="Times New Roman" w:hAnsi="Times New Roman" w:eastAsia="仿宋_GB2312" w:cs="Times New Roman"/>
          <w:sz w:val="32"/>
          <w:szCs w:val="32"/>
          <w:lang w:val="en-US" w:eastAsia="zh-CN"/>
        </w:rPr>
        <w:t>各有关部门和单位要如实填报登记信息，坚决杜绝各种人为干预普查数据的行为，不得虚报、瞒报、拒报、迟报，不得伪造、篡改普查资料。所有普查登记对象，在完成文物认定前，一律不得拆除、迁移。所有已认定公布的不可移动文物，实地调查期间，一律不得撤销。在文物普查中，发现因人为破坏、监管不力等因素造成已登记文物遭破坏、撤销、灭失的情形，要依法调查处理，严肃追究责任，并及时将违法违纪线索移送有关部门处理。</w:t>
      </w:r>
    </w:p>
    <w:p w14:paraId="39FB2D6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四、组织保障</w:t>
      </w:r>
    </w:p>
    <w:p w14:paraId="14CD2AF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（一）强化组织领导。</w:t>
      </w:r>
      <w:r>
        <w:rPr>
          <w:rFonts w:hint="default" w:ascii="Times New Roman" w:hAnsi="Times New Roman" w:eastAsia="仿宋_GB2312" w:cs="Times New Roman"/>
          <w:sz w:val="32"/>
          <w:szCs w:val="32"/>
          <w:highlight w:val="none"/>
          <w:lang w:val="en-US" w:eastAsia="zh-CN"/>
        </w:rPr>
        <w:t>建立</w:t>
      </w:r>
      <w:r>
        <w:rPr>
          <w:rFonts w:hint="default" w:ascii="Times New Roman" w:hAnsi="Times New Roman" w:eastAsia="仿宋_GB2312" w:cs="Times New Roman"/>
          <w:sz w:val="32"/>
          <w:szCs w:val="32"/>
          <w:lang w:val="en-US" w:eastAsia="zh-CN"/>
        </w:rPr>
        <w:t>泰山区第四次文物普查协调机制，负责审定普查实施方案，协调解决重大问题，不作为区政府议事机构，任务完成后自动撤销。协调机制办公室设在泰山区文化和旅游局，负责普查工作的日常组织和具体协调。其中涉及普查宣传动员方面的事项，由区委宣传部、区文化和旅游局负责和协调。涉及普查经费方面的事项，由区财政局负责和协调。涉及国有文物资源资产管理方面的事项，由区财政局、区文化和旅游局负责和协调。涉及数据底图方面的事项，由区自然资源局负责和协调。各有关部门要各司其职、各负其责、密切配合，积极提供文物资源线索，组织动员本系统做好普查工作，为普查</w:t>
      </w:r>
      <w:r>
        <w:rPr>
          <w:rFonts w:hint="default" w:ascii="Times New Roman" w:hAnsi="Times New Roman" w:eastAsia="仿宋_GB2312" w:cs="Times New Roman"/>
          <w:sz w:val="32"/>
          <w:szCs w:val="32"/>
          <w:highlight w:val="none"/>
          <w:lang w:val="en-US" w:eastAsia="zh-CN"/>
        </w:rPr>
        <w:t>队伍</w:t>
      </w:r>
      <w:r>
        <w:rPr>
          <w:rFonts w:hint="default" w:ascii="Times New Roman" w:hAnsi="Times New Roman" w:eastAsia="仿宋_GB2312" w:cs="Times New Roman"/>
          <w:sz w:val="32"/>
          <w:szCs w:val="32"/>
          <w:lang w:val="en-US" w:eastAsia="zh-CN"/>
        </w:rPr>
        <w:t>现场调查提供工作便利条件，及时准确提供管理使用的文物相关信息，协助研究解决普查中涉及本系统的重要问题，协同做好普查文物的安全和保护工作。各街道、乡镇是本区域文物普查工作的责任主体，要结合本地实际，成立相应的普查机构，认真做好本地普查工作，及时采取有效措施解决普查过程中的困难和问题。区文化和旅游局要压实责任，具体组织实施普查工作，确保按时高质量完成普查任务。</w:t>
      </w:r>
    </w:p>
    <w:p w14:paraId="739424F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（二）组建普查队伍。</w:t>
      </w:r>
      <w:r>
        <w:rPr>
          <w:rFonts w:hint="default" w:ascii="Times New Roman" w:hAnsi="Times New Roman" w:eastAsia="仿宋_GB2312" w:cs="Times New Roman"/>
          <w:sz w:val="32"/>
          <w:szCs w:val="32"/>
          <w:lang w:val="en-US" w:eastAsia="zh-CN"/>
        </w:rPr>
        <w:t>要充分调动文物保护和考古工作机构、文物保护单位管理机构、博物馆、</w:t>
      </w:r>
      <w:r>
        <w:rPr>
          <w:rFonts w:hint="default" w:ascii="Times New Roman" w:hAnsi="Times New Roman" w:eastAsia="仿宋_GB2312" w:cs="Times New Roman"/>
          <w:sz w:val="32"/>
          <w:szCs w:val="32"/>
          <w:highlight w:val="none"/>
          <w:lang w:val="en-US" w:eastAsia="zh-CN"/>
        </w:rPr>
        <w:t>高等院校、科研机构及社会力量参与普查工作，充分发挥各街道、乡镇文化站、基层文保</w:t>
      </w:r>
      <w:r>
        <w:rPr>
          <w:rFonts w:hint="default" w:ascii="Times New Roman" w:hAnsi="Times New Roman" w:eastAsia="仿宋_GB2312" w:cs="Times New Roman"/>
          <w:sz w:val="32"/>
          <w:szCs w:val="32"/>
          <w:lang w:val="en-US" w:eastAsia="zh-CN"/>
        </w:rPr>
        <w:t>员作用。鼓励文物系统年轻人、高校相关专业学生参加普查。根据工作需要，可聘用或者从有关单位商调符合条件的人员加入普查队伍，聘用人员劳务费在普查经费中列支，由聘用单位及时支付，商调人员在原单位的岗位保留，工资、福利及其他待遇不降低。通过购买第三方服务承担普查任务的，要加强监管、确保质量；聘用或商调编制外普查人员的，应严格规范普查行为，严肃普查纪律。</w:t>
      </w:r>
    </w:p>
    <w:p w14:paraId="0C3B843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（三）落实普查经费。</w:t>
      </w:r>
      <w:r>
        <w:rPr>
          <w:rFonts w:hint="default"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b w:val="0"/>
          <w:bCs w:val="0"/>
          <w:color w:val="000000"/>
          <w:kern w:val="0"/>
          <w:sz w:val="32"/>
          <w:szCs w:val="32"/>
          <w:lang w:val="en-US" w:eastAsia="zh-CN" w:bidi="ar"/>
        </w:rPr>
        <w:t>我区公共文化领域财政事权和支出责任划分改革的有关规定</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列入相应年度财政预算。各街道、乡镇要做好文物普查工作所需经费年度预算安排，按时拨付、确保到位，保障普查工作顺利开展。</w:t>
      </w:r>
    </w:p>
    <w:p w14:paraId="30EB255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楷体_GB2312" w:cs="Times New Roman"/>
          <w:sz w:val="32"/>
          <w:szCs w:val="32"/>
          <w:highlight w:val="none"/>
          <w:lang w:val="en-US" w:eastAsia="zh-CN"/>
        </w:rPr>
        <w:t>（四）强化宣传引导。</w:t>
      </w:r>
      <w:r>
        <w:rPr>
          <w:rFonts w:hint="default" w:ascii="Times New Roman" w:hAnsi="Times New Roman" w:eastAsia="仿宋_GB2312" w:cs="Times New Roman"/>
          <w:sz w:val="32"/>
          <w:szCs w:val="32"/>
          <w:highlight w:val="none"/>
          <w:lang w:val="en-US" w:eastAsia="zh-CN"/>
        </w:rPr>
        <w:t>认真做好普查宣传策划和组织工作，</w:t>
      </w:r>
      <w:r>
        <w:rPr>
          <w:rFonts w:hint="default" w:ascii="Times New Roman" w:hAnsi="Times New Roman" w:eastAsia="仿宋_GB2312" w:cs="Times New Roman"/>
          <w:spacing w:val="-6"/>
          <w:sz w:val="32"/>
          <w:szCs w:val="32"/>
          <w:highlight w:val="none"/>
          <w:lang w:val="en-US" w:eastAsia="zh-CN"/>
        </w:rPr>
        <w:t>充分利用报刊、广播、电视、互联网等各类媒体，组织开展形式多样的宣传活动，及时有效发布权威信息，回应群众关切热点问题，动员社会各界支持、参与普查，营造保护文物的浓厚社会氛围。</w:t>
      </w:r>
    </w:p>
    <w:p w14:paraId="1D943B4D">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default" w:ascii="Times New Roman" w:hAnsi="Times New Roman" w:eastAsia="仿宋_GB2312" w:cs="Times New Roman"/>
          <w:sz w:val="32"/>
          <w:szCs w:val="32"/>
          <w:lang w:val="en-US" w:eastAsia="zh-CN"/>
        </w:rPr>
      </w:pPr>
    </w:p>
    <w:p w14:paraId="24B4D435">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default" w:ascii="Times New Roman" w:hAnsi="Times New Roman" w:eastAsia="仿宋_GB2312" w:cs="Times New Roman"/>
          <w:sz w:val="32"/>
          <w:szCs w:val="32"/>
          <w:lang w:val="en-US" w:eastAsia="zh-CN"/>
        </w:rPr>
      </w:pPr>
    </w:p>
    <w:p w14:paraId="7DD41038">
      <w:pPr>
        <w:keepNext w:val="0"/>
        <w:keepLines w:val="0"/>
        <w:pageBreakBefore w:val="0"/>
        <w:widowControl w:val="0"/>
        <w:tabs>
          <w:tab w:val="left" w:pos="8400"/>
        </w:tabs>
        <w:kinsoku/>
        <w:wordWrap/>
        <w:overflowPunct/>
        <w:topLinePunct w:val="0"/>
        <w:autoSpaceDE/>
        <w:autoSpaceDN/>
        <w:bidi w:val="0"/>
        <w:adjustRightInd/>
        <w:snapToGrid/>
        <w:spacing w:after="0" w:line="570" w:lineRule="exact"/>
        <w:ind w:firstLine="4480" w:firstLineChars="14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泰安市泰山区人民政府</w:t>
      </w:r>
    </w:p>
    <w:p w14:paraId="5B41D72D">
      <w:pPr>
        <w:keepNext w:val="0"/>
        <w:keepLines w:val="0"/>
        <w:pageBreakBefore w:val="0"/>
        <w:widowControl w:val="0"/>
        <w:tabs>
          <w:tab w:val="left" w:pos="8400"/>
        </w:tabs>
        <w:kinsoku/>
        <w:wordWrap/>
        <w:overflowPunct/>
        <w:topLinePunct w:val="0"/>
        <w:autoSpaceDE/>
        <w:autoSpaceDN/>
        <w:bidi w:val="0"/>
        <w:adjustRightInd/>
        <w:snapToGrid/>
        <w:spacing w:after="0" w:line="570" w:lineRule="exact"/>
        <w:ind w:firstLine="4480" w:firstLineChars="1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14:paraId="6C28D36D">
      <w:pPr>
        <w:keepNext w:val="0"/>
        <w:keepLines w:val="0"/>
        <w:pageBreakBefore w:val="0"/>
        <w:widowControl/>
        <w:kinsoku/>
        <w:wordWrap/>
        <w:overflowPunct/>
        <w:topLinePunct w:val="0"/>
        <w:autoSpaceDE/>
        <w:autoSpaceDN/>
        <w:bidi w:val="0"/>
        <w:adjustRightInd/>
        <w:snapToGrid/>
        <w:spacing w:after="0" w:line="700" w:lineRule="exact"/>
        <w:ind w:left="4598" w:leftChars="1885" w:hanging="640" w:hangingChars="200"/>
        <w:textAlignment w:val="auto"/>
        <w:rPr>
          <w:rFonts w:hint="default" w:ascii="Times New Roman" w:hAnsi="Times New Roman" w:eastAsia="仿宋" w:cs="Times New Roman"/>
          <w:sz w:val="32"/>
          <w:szCs w:val="32"/>
        </w:rPr>
      </w:pPr>
    </w:p>
    <w:p w14:paraId="74957DD3">
      <w:pPr>
        <w:keepNext w:val="0"/>
        <w:keepLines w:val="0"/>
        <w:pageBreakBefore w:val="0"/>
        <w:widowControl/>
        <w:kinsoku/>
        <w:wordWrap/>
        <w:overflowPunct/>
        <w:topLinePunct w:val="0"/>
        <w:autoSpaceDE/>
        <w:autoSpaceDN/>
        <w:bidi w:val="0"/>
        <w:adjustRightInd/>
        <w:snapToGrid/>
        <w:spacing w:after="0" w:line="700" w:lineRule="exact"/>
        <w:ind w:left="4598" w:leftChars="1885" w:hanging="640" w:hangingChars="200"/>
        <w:textAlignment w:val="auto"/>
        <w:rPr>
          <w:rFonts w:hint="default" w:ascii="Times New Roman" w:hAnsi="Times New Roman" w:eastAsia="仿宋" w:cs="Times New Roman"/>
          <w:sz w:val="32"/>
          <w:szCs w:val="32"/>
        </w:rPr>
      </w:pPr>
    </w:p>
    <w:p w14:paraId="2FBFBB2B">
      <w:pPr>
        <w:keepNext w:val="0"/>
        <w:keepLines w:val="0"/>
        <w:pageBreakBefore w:val="0"/>
        <w:widowControl/>
        <w:kinsoku/>
        <w:wordWrap/>
        <w:overflowPunct/>
        <w:topLinePunct w:val="0"/>
        <w:autoSpaceDE/>
        <w:autoSpaceDN/>
        <w:bidi w:val="0"/>
        <w:adjustRightInd/>
        <w:snapToGrid/>
        <w:spacing w:after="0" w:line="700" w:lineRule="exact"/>
        <w:ind w:left="4598" w:leftChars="1885" w:hanging="640" w:hangingChars="200"/>
        <w:textAlignment w:val="auto"/>
        <w:rPr>
          <w:rFonts w:hint="default" w:ascii="Times New Roman" w:hAnsi="Times New Roman" w:eastAsia="仿宋" w:cs="Times New Roman"/>
          <w:sz w:val="32"/>
          <w:szCs w:val="32"/>
          <w:lang w:eastAsia="zh-CN"/>
        </w:rPr>
      </w:pPr>
    </w:p>
    <w:p w14:paraId="4D4DB95F">
      <w:pPr>
        <w:pStyle w:val="7"/>
        <w:rPr>
          <w:rFonts w:hint="default" w:ascii="Times New Roman" w:hAnsi="Times New Roman" w:eastAsia="仿宋" w:cs="Times New Roman"/>
          <w:sz w:val="32"/>
          <w:szCs w:val="32"/>
          <w:lang w:eastAsia="zh-CN"/>
        </w:rPr>
      </w:pPr>
    </w:p>
    <w:p w14:paraId="1C572762">
      <w:pPr>
        <w:rPr>
          <w:rFonts w:hint="default" w:ascii="Times New Roman" w:hAnsi="Times New Roman" w:eastAsia="仿宋" w:cs="Times New Roman"/>
          <w:sz w:val="32"/>
          <w:szCs w:val="32"/>
          <w:lang w:eastAsia="zh-CN"/>
        </w:rPr>
      </w:pPr>
    </w:p>
    <w:p w14:paraId="36297EE3">
      <w:pPr>
        <w:pStyle w:val="7"/>
        <w:rPr>
          <w:rFonts w:hint="default" w:ascii="Times New Roman" w:hAnsi="Times New Roman" w:eastAsia="仿宋" w:cs="Times New Roman"/>
          <w:sz w:val="32"/>
          <w:szCs w:val="32"/>
          <w:lang w:eastAsia="zh-CN"/>
        </w:rPr>
      </w:pPr>
    </w:p>
    <w:p w14:paraId="03B478F5">
      <w:pPr>
        <w:rPr>
          <w:rFonts w:hint="default" w:ascii="Times New Roman" w:hAnsi="Times New Roman" w:eastAsia="仿宋" w:cs="Times New Roman"/>
          <w:sz w:val="32"/>
          <w:szCs w:val="32"/>
          <w:lang w:eastAsia="zh-CN"/>
        </w:rPr>
      </w:pPr>
    </w:p>
    <w:p w14:paraId="158428DF">
      <w:pPr>
        <w:pStyle w:val="7"/>
        <w:rPr>
          <w:rFonts w:hint="default" w:ascii="Times New Roman" w:hAnsi="Times New Roman" w:eastAsia="仿宋" w:cs="Times New Roman"/>
          <w:sz w:val="32"/>
          <w:szCs w:val="32"/>
          <w:lang w:eastAsia="zh-CN"/>
        </w:rPr>
      </w:pPr>
    </w:p>
    <w:p w14:paraId="13F0FF44">
      <w:pPr>
        <w:rPr>
          <w:rFonts w:hint="default" w:ascii="Times New Roman" w:hAnsi="Times New Roman" w:eastAsia="仿宋" w:cs="Times New Roman"/>
          <w:sz w:val="32"/>
          <w:szCs w:val="32"/>
          <w:lang w:eastAsia="zh-CN"/>
        </w:rPr>
      </w:pPr>
    </w:p>
    <w:p w14:paraId="15E27486">
      <w:pPr>
        <w:pStyle w:val="7"/>
        <w:rPr>
          <w:rFonts w:hint="default" w:ascii="Times New Roman" w:hAnsi="Times New Roman" w:cs="Times New Roman"/>
          <w:lang w:eastAsia="zh-CN"/>
        </w:rPr>
      </w:pPr>
    </w:p>
    <w:p w14:paraId="04D7EDAA">
      <w:pPr>
        <w:rPr>
          <w:rFonts w:hint="default" w:ascii="Times New Roman" w:hAnsi="Times New Roman" w:eastAsia="仿宋" w:cs="Times New Roman"/>
          <w:b/>
          <w:bCs/>
          <w:sz w:val="32"/>
          <w:szCs w:val="32"/>
          <w:lang w:eastAsia="zh-CN"/>
        </w:rPr>
      </w:pPr>
    </w:p>
    <w:p w14:paraId="49459F26">
      <w:pPr>
        <w:rPr>
          <w:rFonts w:hint="default" w:ascii="Times New Roman" w:hAnsi="Times New Roman" w:eastAsia="仿宋" w:cs="Times New Roman"/>
          <w:b/>
          <w:bCs/>
          <w:sz w:val="32"/>
          <w:szCs w:val="32"/>
          <w:lang w:eastAsia="zh-CN"/>
        </w:rPr>
      </w:pPr>
    </w:p>
    <w:p w14:paraId="64ECDF4D">
      <w:pPr>
        <w:rPr>
          <w:rFonts w:hint="default" w:ascii="Times New Roman" w:hAnsi="Times New Roman" w:eastAsia="仿宋" w:cs="Times New Roman"/>
          <w:b/>
          <w:bCs/>
          <w:sz w:val="32"/>
          <w:szCs w:val="32"/>
          <w:lang w:eastAsia="zh-CN"/>
        </w:rPr>
      </w:pPr>
    </w:p>
    <w:p w14:paraId="2209CCB7">
      <w:pPr>
        <w:rPr>
          <w:rFonts w:hint="default" w:ascii="Times New Roman" w:hAnsi="Times New Roman" w:eastAsia="仿宋" w:cs="Times New Roman"/>
          <w:b/>
          <w:bCs/>
          <w:sz w:val="32"/>
          <w:szCs w:val="32"/>
          <w:lang w:eastAsia="zh-CN"/>
        </w:rPr>
      </w:pPr>
    </w:p>
    <w:p w14:paraId="4BA42152">
      <w:pPr>
        <w:rPr>
          <w:rFonts w:hint="default" w:ascii="Times New Roman" w:hAnsi="Times New Roman" w:eastAsia="仿宋" w:cs="Times New Roman"/>
          <w:b/>
          <w:bCs/>
          <w:sz w:val="32"/>
          <w:szCs w:val="32"/>
          <w:lang w:eastAsia="zh-CN"/>
        </w:rPr>
      </w:pPr>
    </w:p>
    <w:p w14:paraId="7C16D0DC">
      <w:pPr>
        <w:rPr>
          <w:rFonts w:hint="default" w:ascii="Times New Roman" w:hAnsi="Times New Roman" w:eastAsia="仿宋" w:cs="Times New Roman"/>
          <w:b/>
          <w:bCs/>
          <w:sz w:val="32"/>
          <w:szCs w:val="32"/>
          <w:lang w:eastAsia="zh-CN"/>
        </w:rPr>
      </w:pPr>
    </w:p>
    <w:p w14:paraId="0DB79859">
      <w:pPr>
        <w:rPr>
          <w:rFonts w:hint="default" w:ascii="Times New Roman" w:hAnsi="Times New Roman" w:eastAsia="仿宋" w:cs="Times New Roman"/>
          <w:b/>
          <w:bCs/>
          <w:sz w:val="32"/>
          <w:szCs w:val="32"/>
          <w:lang w:eastAsia="zh-CN"/>
        </w:rPr>
      </w:pPr>
    </w:p>
    <w:p w14:paraId="76E60BE3">
      <w:pPr>
        <w:rPr>
          <w:rFonts w:hint="default" w:ascii="Times New Roman" w:hAnsi="Times New Roman" w:eastAsia="仿宋" w:cs="Times New Roman"/>
          <w:b/>
          <w:bCs/>
          <w:sz w:val="32"/>
          <w:szCs w:val="32"/>
          <w:lang w:eastAsia="zh-CN"/>
        </w:rPr>
      </w:pPr>
    </w:p>
    <w:p w14:paraId="649312BF">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b/>
          <w:bCs/>
          <w:sz w:val="32"/>
          <w:szCs w:val="32"/>
          <w:lang w:eastAsia="zh-CN"/>
        </w:rPr>
      </w:pPr>
    </w:p>
    <w:p w14:paraId="4326A36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b/>
          <w:bCs/>
          <w:sz w:val="32"/>
          <w:szCs w:val="32"/>
          <w:lang w:eastAsia="zh-CN"/>
        </w:rPr>
      </w:pPr>
    </w:p>
    <w:p w14:paraId="3C8A8D7B">
      <w:pPr>
        <w:spacing w:line="400" w:lineRule="exact"/>
        <w:ind w:firstLine="640" w:firstLineChars="200"/>
        <w:rPr>
          <w:rFonts w:hint="default" w:ascii="Times New Roman" w:hAnsi="Times New Roman" w:eastAsia="仿宋_GB2312" w:cs="Times New Roman"/>
          <w:color w:val="000000"/>
          <w:sz w:val="32"/>
          <w:szCs w:val="32"/>
        </w:rPr>
      </w:pPr>
    </w:p>
    <w:p w14:paraId="1E39496D">
      <w:pPr>
        <w:spacing w:line="560" w:lineRule="exact"/>
        <w:ind w:left="1"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抄送：区委各部门，区人大常委会办公室，区政协办公室，区监委，</w:t>
      </w:r>
    </w:p>
    <w:p w14:paraId="5DD21171">
      <w:pPr>
        <w:spacing w:line="560" w:lineRule="exact"/>
        <w:ind w:left="1"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区法院，</w:t>
      </w:r>
      <w:r>
        <w:rPr>
          <w:rFonts w:hint="default" w:ascii="Times New Roman" w:hAnsi="Times New Roman" w:eastAsia="仿宋_GB2312" w:cs="Times New Roman"/>
          <w:color w:val="000000"/>
          <w:spacing w:val="-4"/>
          <w:sz w:val="28"/>
          <w:szCs w:val="28"/>
        </w:rPr>
        <w:t>区</w:t>
      </w:r>
      <w:r>
        <w:rPr>
          <w:rFonts w:hint="default" w:ascii="Times New Roman" w:hAnsi="Times New Roman" w:eastAsia="仿宋_GB2312" w:cs="Times New Roman"/>
          <w:color w:val="000000"/>
          <w:sz w:val="28"/>
          <w:szCs w:val="28"/>
        </w:rPr>
        <w:t>检察院，区人武部。</w:t>
      </w:r>
    </w:p>
    <w:p w14:paraId="559A53F6">
      <w:pPr>
        <w:spacing w:line="560" w:lineRule="exact"/>
        <w:ind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3360;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Ah/tQr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泰安市泰山区人民政府办公室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月</w:t>
      </w:r>
      <w:r>
        <w:rPr>
          <w:rFonts w:hint="default" w:ascii="Times New Roman" w:hAnsi="Times New Roman" w:eastAsia="仿宋_GB2312" w:cs="Times New Roman"/>
          <w:color w:val="000000"/>
          <w:sz w:val="28"/>
          <w:szCs w:val="28"/>
          <w:lang w:val="en-US" w:eastAsia="zh-CN"/>
        </w:rPr>
        <w:t>30</w:t>
      </w:r>
      <w:r>
        <w:rPr>
          <w:rFonts w:hint="default" w:ascii="Times New Roman" w:hAnsi="Times New Roman" w:eastAsia="仿宋_GB2312" w:cs="Times New Roman"/>
          <w:color w:val="000000"/>
          <w:sz w:val="28"/>
          <w:szCs w:val="28"/>
        </w:rPr>
        <w:t xml:space="preserve">日印发  </w:t>
      </w:r>
    </w:p>
    <w:p w14:paraId="52B5612D">
      <w:pPr>
        <w:spacing w:line="300" w:lineRule="exact"/>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4384;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4BLX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sectPr>
      <w:footerReference r:id="rId3" w:type="default"/>
      <w:pgSz w:w="11906" w:h="16838"/>
      <w:pgMar w:top="1984" w:right="1531" w:bottom="1531" w:left="1531"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F38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D82116">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D82116">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U5MmEyZGRmNDUzODE3NmM4YzQzYjcwMjk4YmEifQ=="/>
    <w:docVar w:name="KSO_WPS_MARK_KEY" w:val="90b3776c-7962-4893-8022-ad42b9dc4916"/>
  </w:docVars>
  <w:rsids>
    <w:rsidRoot w:val="6CE160DD"/>
    <w:rsid w:val="010D6029"/>
    <w:rsid w:val="031B61D2"/>
    <w:rsid w:val="04350271"/>
    <w:rsid w:val="0BD842A0"/>
    <w:rsid w:val="16D01B7A"/>
    <w:rsid w:val="17704628"/>
    <w:rsid w:val="1A921BAC"/>
    <w:rsid w:val="2018573D"/>
    <w:rsid w:val="20375207"/>
    <w:rsid w:val="21361D85"/>
    <w:rsid w:val="236F6E2A"/>
    <w:rsid w:val="258231E5"/>
    <w:rsid w:val="26EE4083"/>
    <w:rsid w:val="287B7346"/>
    <w:rsid w:val="2DDB11B5"/>
    <w:rsid w:val="32F01183"/>
    <w:rsid w:val="35402715"/>
    <w:rsid w:val="3723301D"/>
    <w:rsid w:val="3EE61090"/>
    <w:rsid w:val="3F941D93"/>
    <w:rsid w:val="42C72214"/>
    <w:rsid w:val="44F95FB7"/>
    <w:rsid w:val="464D6A4F"/>
    <w:rsid w:val="47565F27"/>
    <w:rsid w:val="4889710F"/>
    <w:rsid w:val="4B192660"/>
    <w:rsid w:val="4D4F0170"/>
    <w:rsid w:val="4F4F32AA"/>
    <w:rsid w:val="52FC46DE"/>
    <w:rsid w:val="55AE42C5"/>
    <w:rsid w:val="57C13A43"/>
    <w:rsid w:val="58332E0B"/>
    <w:rsid w:val="58554DA1"/>
    <w:rsid w:val="59ED3476"/>
    <w:rsid w:val="6183204F"/>
    <w:rsid w:val="64D25334"/>
    <w:rsid w:val="662539FD"/>
    <w:rsid w:val="684012CD"/>
    <w:rsid w:val="69FE4C2E"/>
    <w:rsid w:val="6CE160DD"/>
    <w:rsid w:val="703342DB"/>
    <w:rsid w:val="70716961"/>
    <w:rsid w:val="746C7CE2"/>
    <w:rsid w:val="799E7093"/>
    <w:rsid w:val="7D4E4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autoRedefine/>
    <w:semiHidden/>
    <w:qFormat/>
    <w:uiPriority w:val="0"/>
    <w:pPr>
      <w:spacing w:line="580" w:lineRule="exact"/>
      <w:ind w:right="87" w:firstLine="1584" w:firstLineChars="600"/>
      <w:jc w:val="both"/>
    </w:pPr>
    <w:rPr>
      <w:rFonts w:ascii="仿宋" w:hAnsi="仿宋" w:eastAsia="仿宋" w:cs="仿宋"/>
      <w:spacing w:val="12"/>
      <w:sz w:val="24"/>
      <w:szCs w:val="24"/>
      <w:lang w:eastAsia="zh-CN"/>
    </w:rPr>
  </w:style>
  <w:style w:type="paragraph" w:styleId="4">
    <w:name w:val="table of authorities"/>
    <w:basedOn w:val="1"/>
    <w:next w:val="1"/>
    <w:autoRedefine/>
    <w:qFormat/>
    <w:uiPriority w:val="0"/>
    <w:rPr>
      <w:rFonts w:ascii="Calibri" w:hAnsi="Calibri"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2493</Words>
  <Characters>2541</Characters>
  <Lines>0</Lines>
  <Paragraphs>0</Paragraphs>
  <TotalTime>0</TotalTime>
  <ScaleCrop>false</ScaleCrop>
  <LinksUpToDate>false</LinksUpToDate>
  <CharactersWithSpaces>2573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2021-07-13T01:46:00Z</dcterms:created>
  <dc:creator>蓝澜</dc:creator>
  <cp:lastModifiedBy>鲲之大一锅炖不下 </cp:lastModifiedBy>
  <cp:lastPrinted>2024-07-12T08:50:00Z</cp:lastPrinted>
  <dcterms:modified xsi:type="dcterms:W3CDTF">2024-08-20T07:58:49Z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48186B700E14402EA948E5585794354D_13</vt:lpwstr>
  </property>
</Properties>
</file>