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40" w:lineRule="atLeast"/>
        <w:jc w:val="center"/>
        <w:rPr>
          <w:rFonts w:ascii="宋体" w:hAnsi="宋体" w:eastAsia="宋体" w:cs="Arial"/>
          <w:b/>
          <w:color w:val="333333"/>
          <w:kern w:val="0"/>
          <w:sz w:val="44"/>
          <w:szCs w:val="44"/>
        </w:rPr>
      </w:pPr>
      <w:r>
        <w:rPr>
          <w:rFonts w:hint="eastAsia" w:ascii="宋体" w:hAnsi="宋体" w:eastAsia="宋体" w:cs="Arial"/>
          <w:b/>
          <w:color w:val="333333"/>
          <w:kern w:val="0"/>
          <w:sz w:val="44"/>
          <w:szCs w:val="44"/>
        </w:rPr>
        <w:t>2023年度泰山区文化和旅游局</w:t>
      </w:r>
    </w:p>
    <w:p>
      <w:pPr>
        <w:widowControl/>
        <w:spacing w:line="240" w:lineRule="atLeast"/>
        <w:jc w:val="center"/>
        <w:rPr>
          <w:rFonts w:ascii="宋体" w:hAnsi="宋体" w:eastAsia="宋体" w:cs="Arial"/>
          <w:b/>
          <w:color w:val="333333"/>
          <w:kern w:val="0"/>
          <w:sz w:val="44"/>
          <w:szCs w:val="44"/>
        </w:rPr>
      </w:pPr>
      <w:r>
        <w:rPr>
          <w:rFonts w:hint="eastAsia" w:ascii="宋体" w:hAnsi="宋体" w:eastAsia="宋体" w:cs="Arial"/>
          <w:b/>
          <w:color w:val="333333"/>
          <w:kern w:val="0"/>
          <w:sz w:val="44"/>
          <w:szCs w:val="44"/>
        </w:rPr>
        <w:t>政府信息公开工作年度报告</w:t>
      </w:r>
    </w:p>
    <w:p>
      <w:pPr>
        <w:widowControl/>
        <w:spacing w:line="240" w:lineRule="atLeast"/>
        <w:jc w:val="center"/>
        <w:rPr>
          <w:rFonts w:ascii="宋体" w:hAnsi="宋体" w:eastAsia="宋体" w:cs="Arial"/>
          <w:b/>
          <w:color w:val="333333"/>
          <w:kern w:val="0"/>
          <w:sz w:val="44"/>
          <w:szCs w:val="44"/>
        </w:rPr>
      </w:pPr>
    </w:p>
    <w:p>
      <w:pPr>
        <w:widowControl/>
        <w:spacing w:line="240" w:lineRule="atLeast"/>
        <w:rPr>
          <w:rFonts w:ascii="宋体" w:hAnsi="宋体" w:eastAsia="宋体" w:cs="Arial"/>
          <w:color w:val="333333"/>
          <w:kern w:val="0"/>
          <w:sz w:val="42"/>
          <w:szCs w:val="42"/>
        </w:rPr>
      </w:pPr>
      <w:r>
        <w:rPr>
          <w:rFonts w:hint="eastAsia" w:ascii="仿宋" w:hAnsi="仿宋" w:eastAsia="仿宋" w:cs="Arial"/>
          <w:color w:val="333333"/>
          <w:kern w:val="0"/>
          <w:sz w:val="32"/>
          <w:szCs w:val="32"/>
        </w:rPr>
        <w:t xml:space="preserve">    根据《中华人民共和国政府信息公开条例》和</w:t>
      </w:r>
      <w:r>
        <w:rPr>
          <w:rFonts w:hint="eastAsia" w:ascii="仿宋" w:hAnsi="仿宋" w:eastAsia="仿宋" w:cs="Arial"/>
          <w:bCs/>
          <w:color w:val="333333"/>
          <w:kern w:val="0"/>
          <w:sz w:val="32"/>
          <w:szCs w:val="32"/>
        </w:rPr>
        <w:t>《国务院办公厅政府信息与政务公开办公室关于印发&lt;中华人民共和国政府信息公开工作年度报告格式&gt;的通知》（国办公开办函〔2021〕30号）</w:t>
      </w:r>
      <w:r>
        <w:rPr>
          <w:rFonts w:hint="eastAsia" w:ascii="仿宋" w:hAnsi="仿宋" w:eastAsia="仿宋" w:cs="Arial"/>
          <w:color w:val="333333"/>
          <w:kern w:val="0"/>
          <w:sz w:val="32"/>
          <w:szCs w:val="32"/>
        </w:rPr>
        <w:t>相关要求编制，特向社会公布2023年度本机关政府信息公开工作年度报告。全文包括：总体情况；主动公开政府信息情况；收到和处理政府信息公开申请情况；因政府信息公开工作被申请行政复议、提起行政诉讼情况；政府信息公开工作存在的主要问题及改进情况；其他需要报告的事项。</w:t>
      </w:r>
    </w:p>
    <w:p>
      <w:pPr>
        <w:widowControl/>
        <w:spacing w:line="240" w:lineRule="atLeast"/>
        <w:jc w:val="left"/>
        <w:rPr>
          <w:rFonts w:ascii="仿宋" w:hAnsi="仿宋" w:eastAsia="仿宋" w:cs="Arial"/>
          <w:color w:val="333333"/>
          <w:kern w:val="0"/>
          <w:sz w:val="32"/>
          <w:szCs w:val="32"/>
        </w:rPr>
      </w:pPr>
      <w:r>
        <w:rPr>
          <w:rFonts w:hint="eastAsia" w:ascii="仿宋" w:hAnsi="仿宋" w:eastAsia="仿宋" w:cs="Arial"/>
          <w:color w:val="333333"/>
          <w:kern w:val="0"/>
          <w:sz w:val="32"/>
          <w:szCs w:val="32"/>
        </w:rPr>
        <w:t xml:space="preserve">    报告中所列数据的统计期限自2023年1月1日起至2023年12月31日止。报告的电子版可在泰山区人民政府政府网站（http://www.sdtaishan.gov.cn/）下载。如对本报告有任何疑问，请与泰安市泰山区文化和旅游局联系（地址：唐王街</w:t>
      </w:r>
      <w:r>
        <w:rPr>
          <w:rFonts w:ascii="仿宋" w:hAnsi="仿宋" w:eastAsia="仿宋" w:cs="Arial"/>
          <w:color w:val="333333"/>
          <w:kern w:val="0"/>
          <w:sz w:val="32"/>
          <w:szCs w:val="32"/>
        </w:rPr>
        <w:t>389</w:t>
      </w:r>
      <w:r>
        <w:rPr>
          <w:rFonts w:hint="eastAsia" w:ascii="仿宋" w:hAnsi="仿宋" w:eastAsia="仿宋" w:cs="Arial"/>
          <w:color w:val="333333"/>
          <w:kern w:val="0"/>
          <w:sz w:val="32"/>
          <w:szCs w:val="32"/>
        </w:rPr>
        <w:t>号文化大厦6楼；邮编：271000；电话：0538-5361761；</w:t>
      </w:r>
    </w:p>
    <w:p>
      <w:pPr>
        <w:widowControl/>
        <w:spacing w:line="240" w:lineRule="atLeast"/>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电子邮箱：</w:t>
      </w:r>
      <w:r>
        <w:fldChar w:fldCharType="begin"/>
      </w:r>
      <w:r>
        <w:instrText xml:space="preserve"> HYPERLINK "mailto:tsqwhhlyj@ta.shandong.cn" </w:instrText>
      </w:r>
      <w:r>
        <w:fldChar w:fldCharType="separate"/>
      </w:r>
      <w:r>
        <w:rPr>
          <w:rFonts w:hint="eastAsia" w:ascii="仿宋" w:hAnsi="仿宋" w:eastAsia="仿宋" w:cs="Arial"/>
          <w:color w:val="333333"/>
          <w:kern w:val="0"/>
          <w:sz w:val="32"/>
          <w:szCs w:val="32"/>
          <w:u w:val="single"/>
        </w:rPr>
        <w:t>tsqwhhlyj@ta.shandong.cn</w:t>
      </w:r>
      <w:r>
        <w:rPr>
          <w:rFonts w:hint="eastAsia" w:ascii="仿宋" w:hAnsi="仿宋" w:eastAsia="仿宋" w:cs="Arial"/>
          <w:color w:val="333333"/>
          <w:kern w:val="0"/>
          <w:sz w:val="32"/>
          <w:szCs w:val="32"/>
          <w:u w:val="single"/>
        </w:rPr>
        <w:fldChar w:fldCharType="end"/>
      </w:r>
      <w:r>
        <w:rPr>
          <w:rFonts w:hint="eastAsia" w:ascii="仿宋" w:hAnsi="仿宋" w:eastAsia="仿宋" w:cs="Arial"/>
          <w:color w:val="333333"/>
          <w:kern w:val="0"/>
          <w:sz w:val="32"/>
          <w:szCs w:val="32"/>
        </w:rPr>
        <w:t>)。</w:t>
      </w:r>
    </w:p>
    <w:p>
      <w:pPr>
        <w:widowControl/>
        <w:spacing w:line="240" w:lineRule="atLeast"/>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 xml:space="preserve">    一、总体情况</w:t>
      </w:r>
    </w:p>
    <w:p>
      <w:pPr>
        <w:pStyle w:val="4"/>
        <w:shd w:val="clear" w:color="auto" w:fill="FFFFFF"/>
        <w:rPr>
          <w:rFonts w:ascii="仿宋" w:hAnsi="仿宋" w:eastAsia="仿宋" w:cs="Arial"/>
          <w:bCs/>
          <w:color w:val="333333"/>
          <w:sz w:val="32"/>
          <w:szCs w:val="32"/>
        </w:rPr>
      </w:pPr>
      <w:r>
        <w:rPr>
          <w:rFonts w:hint="eastAsia" w:ascii="仿宋" w:hAnsi="仿宋" w:eastAsia="仿宋" w:cs="Arial"/>
          <w:color w:val="333333"/>
          <w:sz w:val="32"/>
          <w:szCs w:val="32"/>
        </w:rPr>
        <w:t xml:space="preserve">    </w:t>
      </w:r>
      <w:r>
        <w:rPr>
          <w:rFonts w:ascii="Arial" w:hAnsi="Arial" w:cs="Arial"/>
          <w:color w:val="000000"/>
          <w:sz w:val="22"/>
          <w:szCs w:val="22"/>
        </w:rPr>
        <w:t> </w:t>
      </w:r>
      <w:r>
        <w:rPr>
          <w:rFonts w:ascii="仿宋" w:hAnsi="仿宋" w:eastAsia="仿宋" w:cs="Arial"/>
          <w:bCs/>
          <w:color w:val="333333"/>
          <w:sz w:val="32"/>
          <w:szCs w:val="32"/>
        </w:rPr>
        <w:t> 2023年，</w:t>
      </w:r>
      <w:r>
        <w:rPr>
          <w:rFonts w:hint="eastAsia" w:ascii="仿宋" w:hAnsi="仿宋" w:eastAsia="仿宋" w:cs="Arial"/>
          <w:bCs/>
          <w:color w:val="333333"/>
          <w:sz w:val="32"/>
          <w:szCs w:val="32"/>
        </w:rPr>
        <w:t>泰山区文化和旅游局</w:t>
      </w:r>
      <w:r>
        <w:rPr>
          <w:rFonts w:ascii="仿宋" w:hAnsi="仿宋" w:eastAsia="仿宋" w:cs="Arial"/>
          <w:bCs/>
          <w:color w:val="333333"/>
          <w:sz w:val="32"/>
          <w:szCs w:val="32"/>
        </w:rPr>
        <w:t>结合文化旅游业务实际，认真贯彻落实《中华人民共和国政府信息公开条例》，围绕重点领域加大主动公开力度，加强文旅宣传，不断提升政务公开质量和实效，政务公开工作取得积极进展。本报告包括总体情况，主动公开政府信息情况，收到和处理政府信息公开申请情况，政府信息公开行政复议、行政诉讼情况，存在的主要问题及改进情况，其他需要报告的事项等</w:t>
      </w:r>
      <w:r>
        <w:rPr>
          <w:rFonts w:hint="eastAsia" w:ascii="仿宋" w:hAnsi="仿宋" w:eastAsia="仿宋" w:cs="Arial"/>
          <w:bCs/>
          <w:color w:val="333333"/>
          <w:sz w:val="32"/>
          <w:szCs w:val="32"/>
        </w:rPr>
        <w:t>六</w:t>
      </w:r>
      <w:r>
        <w:rPr>
          <w:rFonts w:ascii="仿宋" w:hAnsi="仿宋" w:eastAsia="仿宋" w:cs="Arial"/>
          <w:bCs/>
          <w:color w:val="333333"/>
          <w:sz w:val="32"/>
          <w:szCs w:val="32"/>
        </w:rPr>
        <w:t>个部分。</w:t>
      </w:r>
    </w:p>
    <w:p>
      <w:pPr>
        <w:widowControl/>
        <w:spacing w:line="240" w:lineRule="atLeast"/>
        <w:ind w:firstLine="567"/>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（一）主动公开信息情况</w:t>
      </w:r>
    </w:p>
    <w:p>
      <w:pPr>
        <w:rPr>
          <w:rFonts w:ascii="仿宋" w:hAnsi="仿宋" w:eastAsia="仿宋" w:cs="Arial"/>
          <w:bCs/>
          <w:color w:val="333333"/>
          <w:kern w:val="0"/>
          <w:sz w:val="32"/>
          <w:szCs w:val="32"/>
        </w:rPr>
      </w:pPr>
      <w:r>
        <w:rPr>
          <w:rFonts w:hint="eastAsia" w:ascii="仿宋" w:hAnsi="仿宋" w:eastAsia="仿宋" w:cs="Arial"/>
          <w:bCs/>
          <w:color w:val="333333"/>
          <w:kern w:val="0"/>
          <w:sz w:val="32"/>
          <w:szCs w:val="32"/>
        </w:rPr>
        <w:t xml:space="preserve">    2023年，泰安市泰山区文化和旅游局通过泰山区人民政府网站政务信息公开专栏主动公开政府信息186条，其中要闻动态类1条，履职尽责类3条，职能机构类21条，规划信息类1条，财政预决算类9条，权责清单类1条，</w:t>
      </w:r>
      <w:r>
        <w:rPr>
          <w:rFonts w:ascii="仿宋" w:hAnsi="仿宋" w:eastAsia="仿宋" w:cs="Arial"/>
          <w:bCs/>
          <w:color w:val="333333"/>
          <w:kern w:val="0"/>
          <w:sz w:val="32"/>
          <w:szCs w:val="32"/>
        </w:rPr>
        <w:t>行政权力运行公开</w:t>
      </w:r>
      <w:r>
        <w:rPr>
          <w:rFonts w:hint="eastAsia" w:ascii="仿宋" w:hAnsi="仿宋" w:eastAsia="仿宋" w:cs="Arial"/>
          <w:bCs/>
          <w:color w:val="333333"/>
          <w:kern w:val="0"/>
          <w:sz w:val="32"/>
          <w:szCs w:val="32"/>
        </w:rPr>
        <w:t>35条，应急管理类2条，其它法定信息类51条，重点领域信息公开类42条，公企事业管理类2条，走进泰山区19条。</w:t>
      </w:r>
    </w:p>
    <w:p>
      <w:pPr>
        <w:widowControl/>
        <w:spacing w:line="240" w:lineRule="atLeast"/>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 xml:space="preserve">    （二）政府信息依申请公开办理情况</w:t>
      </w:r>
    </w:p>
    <w:p>
      <w:pPr>
        <w:widowControl/>
        <w:spacing w:line="240" w:lineRule="atLeast"/>
        <w:ind w:firstLine="709"/>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2023年，泰山区文化和旅游局未收到政府信息公开申请，依申请公开信息0条。</w:t>
      </w:r>
    </w:p>
    <w:p>
      <w:pPr>
        <w:widowControl/>
        <w:spacing w:line="240" w:lineRule="atLeast"/>
        <w:ind w:firstLine="560"/>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（三）政府信息管理情况</w:t>
      </w:r>
    </w:p>
    <w:p>
      <w:pPr>
        <w:widowControl/>
        <w:spacing w:line="240" w:lineRule="atLeast"/>
        <w:ind w:firstLine="560"/>
        <w:jc w:val="left"/>
        <w:rPr>
          <w:rFonts w:ascii="仿宋" w:hAnsi="仿宋" w:eastAsia="仿宋" w:cs="Arial"/>
          <w:color w:val="000000"/>
          <w:kern w:val="0"/>
          <w:sz w:val="32"/>
          <w:szCs w:val="32"/>
        </w:rPr>
      </w:pPr>
      <w:r>
        <w:rPr>
          <w:rFonts w:ascii="仿宋" w:hAnsi="仿宋" w:eastAsia="仿宋" w:cs="Arial"/>
          <w:color w:val="333333"/>
          <w:kern w:val="0"/>
          <w:sz w:val="32"/>
          <w:szCs w:val="32"/>
        </w:rPr>
        <w:t>我局进一步强化内容管理，确保政府信息准确</w:t>
      </w:r>
      <w:r>
        <w:rPr>
          <w:rFonts w:hint="eastAsia" w:ascii="仿宋" w:hAnsi="仿宋" w:eastAsia="仿宋" w:cs="Arial"/>
          <w:color w:val="333333"/>
          <w:kern w:val="0"/>
          <w:sz w:val="32"/>
          <w:szCs w:val="32"/>
        </w:rPr>
        <w:t>，</w:t>
      </w:r>
      <w:r>
        <w:rPr>
          <w:rFonts w:ascii="仿宋" w:hAnsi="仿宋" w:eastAsia="仿宋" w:cs="Arial"/>
          <w:color w:val="333333"/>
          <w:kern w:val="0"/>
          <w:sz w:val="32"/>
          <w:szCs w:val="32"/>
        </w:rPr>
        <w:t>要求</w:t>
      </w:r>
      <w:r>
        <w:rPr>
          <w:rFonts w:hint="eastAsia" w:ascii="仿宋" w:hAnsi="仿宋" w:eastAsia="仿宋" w:cs="Arial"/>
          <w:color w:val="333333"/>
          <w:kern w:val="0"/>
          <w:sz w:val="32"/>
          <w:szCs w:val="32"/>
        </w:rPr>
        <w:t>局各科</w:t>
      </w:r>
      <w:r>
        <w:rPr>
          <w:rFonts w:ascii="仿宋" w:hAnsi="仿宋" w:eastAsia="仿宋" w:cs="Arial"/>
          <w:color w:val="333333"/>
          <w:kern w:val="0"/>
          <w:sz w:val="32"/>
          <w:szCs w:val="32"/>
        </w:rPr>
        <w:t>室公开的政府信息，按照“谁主管、谁把关，谁提供、谁负责”的原则，承担主体责任，做好信息把关、审核、编辑、发布工作，保障政府信息内容正确。</w:t>
      </w:r>
    </w:p>
    <w:p>
      <w:pPr>
        <w:widowControl/>
        <w:spacing w:line="240" w:lineRule="atLeast"/>
        <w:ind w:firstLine="560"/>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（四）平台建设情况</w:t>
      </w:r>
    </w:p>
    <w:p>
      <w:pPr>
        <w:widowControl/>
        <w:spacing w:line="240" w:lineRule="atLeast"/>
        <w:jc w:val="left"/>
        <w:rPr>
          <w:rFonts w:ascii="仿宋" w:hAnsi="仿宋" w:eastAsia="仿宋" w:cs="Arial"/>
          <w:color w:val="333333"/>
          <w:kern w:val="0"/>
          <w:sz w:val="32"/>
          <w:szCs w:val="32"/>
        </w:rPr>
      </w:pPr>
      <w:r>
        <w:rPr>
          <w:rFonts w:hint="eastAsia" w:ascii="仿宋_GB2312" w:eastAsia="仿宋_GB2312"/>
          <w:color w:val="333333"/>
          <w:sz w:val="29"/>
          <w:szCs w:val="29"/>
          <w:shd w:val="clear" w:color="auto" w:fill="FFFFFF"/>
        </w:rPr>
        <w:t xml:space="preserve">    </w:t>
      </w:r>
      <w:r>
        <w:rPr>
          <w:rFonts w:hint="eastAsia" w:ascii="仿宋" w:hAnsi="仿宋" w:eastAsia="仿宋" w:cs="Arial"/>
          <w:color w:val="333333"/>
          <w:kern w:val="0"/>
          <w:sz w:val="32"/>
          <w:szCs w:val="32"/>
        </w:rPr>
        <w:t>区文化和旅游局通过区政府门户网站部门专栏、信息公开专栏发布信息，做好基础信息公开工作，专人负责网站更新工作，按要求完善机构领导、机构设置等信息，及时发布应主动公开的各类信息，编制单位政府信息公开年度报告。</w:t>
      </w:r>
    </w:p>
    <w:p>
      <w:pPr>
        <w:widowControl/>
        <w:spacing w:line="240" w:lineRule="atLeast"/>
        <w:ind w:firstLine="560"/>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（五）监督保障情况</w:t>
      </w:r>
    </w:p>
    <w:p>
      <w:pPr>
        <w:widowControl/>
        <w:spacing w:line="240" w:lineRule="atLeast"/>
        <w:ind w:firstLine="780"/>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按照省市区相关政务公开规定，</w:t>
      </w:r>
      <w:r>
        <w:rPr>
          <w:rFonts w:ascii="仿宋" w:hAnsi="仿宋" w:eastAsia="仿宋" w:cs="Arial"/>
          <w:color w:val="000000"/>
          <w:kern w:val="0"/>
          <w:sz w:val="32"/>
          <w:szCs w:val="32"/>
        </w:rPr>
        <w:t>我局进一步严格落实</w:t>
      </w:r>
      <w:bookmarkStart w:id="10" w:name="_GoBack"/>
      <w:bookmarkEnd w:id="10"/>
      <w:r>
        <w:rPr>
          <w:rFonts w:ascii="仿宋" w:hAnsi="仿宋" w:eastAsia="仿宋" w:cs="Arial"/>
          <w:color w:val="000000"/>
          <w:kern w:val="0"/>
          <w:sz w:val="32"/>
          <w:szCs w:val="32"/>
        </w:rPr>
        <w:t>审查责任，确保“先审查，后公开”。 明确分管领导负责，确定局办公室为政务公开工作责任科室，实行专人专管制度。加强日常检查抽查力度和频次，定期开展不良信息及错别字、错链清查，并及时通报整改</w:t>
      </w:r>
      <w:r>
        <w:rPr>
          <w:rFonts w:hint="eastAsia" w:ascii="仿宋" w:hAnsi="仿宋" w:eastAsia="仿宋" w:cs="Arial"/>
          <w:color w:val="000000"/>
          <w:kern w:val="0"/>
          <w:sz w:val="32"/>
          <w:szCs w:val="32"/>
        </w:rPr>
        <w:t>。</w:t>
      </w:r>
      <w:r>
        <w:rPr>
          <w:rFonts w:ascii="仿宋" w:hAnsi="仿宋" w:eastAsia="仿宋" w:cs="Arial"/>
          <w:color w:val="000000"/>
          <w:kern w:val="0"/>
          <w:sz w:val="32"/>
          <w:szCs w:val="32"/>
        </w:rPr>
        <w:t xml:space="preserve"> </w:t>
      </w:r>
    </w:p>
    <w:p>
      <w:pPr>
        <w:widowControl/>
        <w:spacing w:line="240" w:lineRule="atLeast"/>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 xml:space="preserve">    二、主动公开政府信息情况</w:t>
      </w:r>
    </w:p>
    <w:tbl>
      <w:tblPr>
        <w:tblStyle w:val="5"/>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bl>
    <w:p>
      <w:pPr>
        <w:widowControl/>
        <w:spacing w:before="320" w:after="320" w:line="240" w:lineRule="atLeast"/>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 xml:space="preserve">    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tcMar>
              <w:left w:w="108" w:type="dxa"/>
              <w:right w:w="108" w:type="dxa"/>
            </w:tcMar>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31"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708"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567" w:type="dxa"/>
            <w:shd w:val="clear" w:color="auto" w:fill="auto"/>
            <w:tcMar>
              <w:left w:w="108" w:type="dxa"/>
              <w:right w:w="108" w:type="dxa"/>
            </w:tcMar>
          </w:tcPr>
          <w:p>
            <w:pPr>
              <w:jc w:val="center"/>
            </w:pPr>
            <w:r>
              <w:rPr>
                <w:rFonts w:hint="eastAsia" w:ascii="仿宋_GB2312" w:hAnsi="Times New Roman" w:eastAsia="仿宋_GB2312"/>
                <w:szCs w:val="21"/>
              </w:rPr>
              <w:t>0</w:t>
            </w:r>
          </w:p>
        </w:tc>
        <w:tc>
          <w:tcPr>
            <w:tcW w:w="851" w:type="dxa"/>
            <w:shd w:val="clear" w:color="auto" w:fill="auto"/>
            <w:tcMar>
              <w:left w:w="108" w:type="dxa"/>
              <w:right w:w="108" w:type="dxa"/>
            </w:tcMar>
          </w:tcPr>
          <w:p>
            <w:pPr>
              <w:jc w:val="center"/>
            </w:pPr>
            <w:r>
              <w:rPr>
                <w:rFonts w:hint="eastAsia" w:ascii="仿宋_GB2312" w:hAnsi="Times New Roman" w:eastAsia="仿宋_GB2312"/>
                <w:szCs w:val="21"/>
              </w:rPr>
              <w:t>0</w:t>
            </w:r>
          </w:p>
        </w:tc>
      </w:tr>
    </w:tbl>
    <w:p>
      <w:pPr>
        <w:widowControl/>
        <w:spacing w:before="320" w:after="320" w:line="240" w:lineRule="atLeast"/>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 xml:space="preserve">    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bl>
    <w:p>
      <w:pPr>
        <w:widowControl/>
        <w:spacing w:line="240" w:lineRule="atLeast"/>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 xml:space="preserve">    五、存在的主要问题及改进情况</w:t>
      </w:r>
    </w:p>
    <w:p>
      <w:pPr>
        <w:spacing w:line="240" w:lineRule="atLeast"/>
        <w:ind w:firstLine="640"/>
        <w:rPr>
          <w:rFonts w:ascii="仿宋" w:hAnsi="仿宋" w:eastAsia="仿宋" w:cs="Arial"/>
          <w:color w:val="000000"/>
          <w:sz w:val="32"/>
          <w:szCs w:val="32"/>
        </w:rPr>
      </w:pPr>
      <w:r>
        <w:rPr>
          <w:rFonts w:hint="eastAsia" w:ascii="仿宋" w:hAnsi="仿宋" w:eastAsia="仿宋" w:cs="Arial"/>
          <w:color w:val="000000"/>
          <w:sz w:val="32"/>
          <w:szCs w:val="32"/>
        </w:rPr>
        <w:t>2023年，我局按照政府信息公开条例在政务信息公开方面取得了一定成效，但与信息公开工作要求还存在一定差距，一是政府信息公开部分栏目更新不够及时。二是在信息公开的形式还不够创新。三是重点领域政务信息公开还存在质量不高、内容不全。</w:t>
      </w:r>
    </w:p>
    <w:p>
      <w:pPr>
        <w:shd w:val="clear" w:color="auto" w:fill="FFFFFF"/>
        <w:spacing w:line="240" w:lineRule="atLeast"/>
        <w:ind w:firstLine="640"/>
        <w:rPr>
          <w:rFonts w:ascii="仿宋" w:hAnsi="仿宋" w:eastAsia="仿宋" w:cs="Arial"/>
          <w:color w:val="000000"/>
          <w:kern w:val="0"/>
          <w:sz w:val="32"/>
          <w:szCs w:val="32"/>
        </w:rPr>
      </w:pPr>
      <w:r>
        <w:rPr>
          <w:rFonts w:hint="eastAsia" w:ascii="仿宋" w:hAnsi="仿宋" w:eastAsia="仿宋" w:cs="Arial"/>
          <w:color w:val="000000"/>
          <w:kern w:val="0"/>
          <w:sz w:val="32"/>
          <w:szCs w:val="32"/>
        </w:rPr>
        <w:t>改进措施：一是加大政务信息更新力度，落实工作目标，做到信息生成与发布保持同步。二是加强业务技术培训，尽可能采用图文、列表视频等多种形式让群众了解政务信息。三是加强公共文化服务、旅游领域等信息的高质量发布。</w:t>
      </w:r>
    </w:p>
    <w:p>
      <w:pPr>
        <w:widowControl/>
        <w:spacing w:line="240" w:lineRule="atLeast"/>
        <w:jc w:val="left"/>
        <w:rPr>
          <w:rFonts w:ascii="仿宋" w:hAnsi="仿宋" w:eastAsia="仿宋" w:cs="Arial"/>
          <w:color w:val="000000"/>
          <w:kern w:val="0"/>
          <w:sz w:val="32"/>
          <w:szCs w:val="32"/>
        </w:rPr>
      </w:pPr>
      <w:r>
        <w:rPr>
          <w:rFonts w:hint="eastAsia" w:ascii="仿宋" w:hAnsi="仿宋" w:eastAsia="仿宋" w:cs="Arial"/>
          <w:color w:val="333333"/>
          <w:kern w:val="0"/>
          <w:sz w:val="32"/>
          <w:szCs w:val="32"/>
        </w:rPr>
        <w:t xml:space="preserve">    六、其他需要报告的事项</w:t>
      </w:r>
    </w:p>
    <w:p>
      <w:pPr>
        <w:widowControl/>
        <w:spacing w:line="240" w:lineRule="atLeast"/>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1.按照《国务院办公厅关于印发〈政府信息公开信息处理费管理办法〉的通知》（国办函〔2020〕109号）规定的按件、按量收费标准，2023年度没有产生信息公开处理费。</w:t>
      </w:r>
    </w:p>
    <w:p>
      <w:pPr>
        <w:pStyle w:val="4"/>
        <w:shd w:val="clear" w:color="auto" w:fill="FFFFFF"/>
        <w:spacing w:before="0" w:beforeAutospacing="0" w:after="0" w:afterAutospacing="0" w:line="240" w:lineRule="atLeast"/>
        <w:ind w:firstLine="480"/>
        <w:rPr>
          <w:rFonts w:ascii="仿宋" w:hAnsi="仿宋" w:eastAsia="仿宋" w:cs="Arial"/>
          <w:color w:val="000000"/>
          <w:sz w:val="32"/>
          <w:szCs w:val="32"/>
        </w:rPr>
      </w:pPr>
      <w:r>
        <w:rPr>
          <w:rFonts w:hint="eastAsia" w:ascii="仿宋" w:hAnsi="仿宋" w:eastAsia="仿宋" w:cs="Arial"/>
          <w:color w:val="000000"/>
          <w:sz w:val="32"/>
          <w:szCs w:val="32"/>
        </w:rPr>
        <w:t xml:space="preserve"> 2.</w:t>
      </w:r>
      <w:r>
        <w:rPr>
          <w:rFonts w:ascii="仿宋" w:hAnsi="仿宋" w:eastAsia="仿宋" w:cs="Arial"/>
          <w:color w:val="000000"/>
          <w:sz w:val="32"/>
          <w:szCs w:val="32"/>
        </w:rPr>
        <w:t xml:space="preserve"> 严格落实政务公开工作要点，根据公开目录要求，深入推进公共文化服务、文物、旅游等领域信息公开工作，重点公开了群众文化活动、公共文化场馆、文物保护单位、A级旅游景区、应急预案、文化旅游宣传等方面的内容。</w:t>
      </w:r>
    </w:p>
    <w:p>
      <w:pPr>
        <w:pStyle w:val="4"/>
        <w:shd w:val="clear" w:color="auto" w:fill="FFFFFF"/>
        <w:spacing w:before="0" w:beforeAutospacing="0" w:after="0" w:afterAutospacing="0" w:line="240" w:lineRule="atLeast"/>
        <w:ind w:firstLine="480"/>
        <w:rPr>
          <w:rFonts w:ascii="仿宋" w:hAnsi="仿宋" w:eastAsia="仿宋" w:cs="Arial"/>
          <w:color w:val="000000"/>
          <w:sz w:val="32"/>
          <w:szCs w:val="32"/>
        </w:rPr>
      </w:pPr>
      <w:r>
        <w:rPr>
          <w:rFonts w:hint="eastAsia" w:ascii="仿宋" w:hAnsi="仿宋" w:eastAsia="仿宋" w:cs="Arial"/>
          <w:color w:val="000000"/>
          <w:sz w:val="32"/>
          <w:szCs w:val="32"/>
        </w:rPr>
        <w:t xml:space="preserve"> 3.2023年，泰安市泰安市泰山区文化和旅游局共承办人大建议、政协提案8项，其中人大建议3项，政协提案5项；事项内容涉及文旅产业发展、乡村振兴与文旅融合发展、文物、非遗、旅游、民宿等多个方面。截至目前，我局负责的提案已全部办理完毕，吸收采纳8项，不予采纳0项，吸收采纳率为100%。</w:t>
      </w:r>
    </w:p>
    <w:p>
      <w:pPr>
        <w:spacing w:line="240" w:lineRule="atLeast"/>
        <w:ind w:firstLine="640" w:firstLineChars="200"/>
        <w:rPr>
          <w:rFonts w:ascii="仿宋" w:hAnsi="仿宋" w:eastAsia="仿宋" w:cs="Arial"/>
          <w:color w:val="000000"/>
          <w:kern w:val="0"/>
          <w:sz w:val="32"/>
          <w:szCs w:val="32"/>
        </w:rPr>
      </w:pPr>
      <w:r>
        <w:rPr>
          <w:rFonts w:hint="eastAsia" w:ascii="仿宋" w:hAnsi="仿宋" w:eastAsia="仿宋" w:cs="Arial"/>
          <w:color w:val="000000"/>
          <w:kern w:val="0"/>
          <w:sz w:val="32"/>
          <w:szCs w:val="32"/>
        </w:rPr>
        <w:t>4.本行政机关年度政务公开工作创新情况，区文化和旅游局建立了办公室牵头主抓政务公开工作，各科室负责提报相关内容，并明确专职工作人员，确保政务公开工作有序、责任落实到位。2023年我局在区政府办政务公开服务中心的指导下，对领导信息、机构设置、行政执法、重点领域信息公开等内容做出调整和优化细节，使广大人民群众更快更方便地能够了解政务公开信息。</w:t>
      </w:r>
    </w:p>
    <w:p>
      <w:pPr>
        <w:rPr>
          <w:rFonts w:ascii="宋体" w:hAnsi="宋体" w:eastAsia="宋体"/>
        </w:rPr>
      </w:pPr>
    </w:p>
    <w:p>
      <w:pPr>
        <w:rPr>
          <w:rFonts w:ascii="宋体" w:hAnsi="宋体" w:eastAsia="宋体"/>
        </w:rPr>
      </w:pPr>
    </w:p>
    <w:p>
      <w:pPr>
        <w:tabs>
          <w:tab w:val="left" w:pos="5460"/>
        </w:tabs>
        <w:rPr>
          <w:rFonts w:ascii="仿宋" w:hAnsi="仿宋" w:eastAsia="仿宋" w:cs="Arial"/>
          <w:color w:val="000000"/>
          <w:kern w:val="0"/>
          <w:sz w:val="32"/>
          <w:szCs w:val="32"/>
        </w:rPr>
      </w:pPr>
      <w:r>
        <w:rPr>
          <w:rFonts w:hint="eastAsia" w:ascii="仿宋" w:hAnsi="仿宋" w:eastAsia="仿宋" w:cs="Arial"/>
          <w:color w:val="000000"/>
          <w:kern w:val="0"/>
          <w:sz w:val="32"/>
          <w:szCs w:val="32"/>
        </w:rPr>
        <w:t xml:space="preserve">                                泰山区文化和旅游局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Arial">
    <w:altName w:val="Nimbus Roman No9 L"/>
    <w:panose1 w:val="020B0604020202020204"/>
    <w:charset w:val="00"/>
    <w:family w:val="swiss"/>
    <w:pitch w:val="default"/>
    <w:sig w:usb0="00000000" w:usb1="00000000" w:usb2="00000009" w:usb3="00000000" w:csb0="000001F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D6EF6"/>
    <w:rsid w:val="00083BAC"/>
    <w:rsid w:val="00085D24"/>
    <w:rsid w:val="00090266"/>
    <w:rsid w:val="00095154"/>
    <w:rsid w:val="000F7386"/>
    <w:rsid w:val="00107283"/>
    <w:rsid w:val="00133661"/>
    <w:rsid w:val="0017060C"/>
    <w:rsid w:val="00193E5E"/>
    <w:rsid w:val="001B1FB4"/>
    <w:rsid w:val="001F4FF7"/>
    <w:rsid w:val="0023793F"/>
    <w:rsid w:val="002539BB"/>
    <w:rsid w:val="00260D2B"/>
    <w:rsid w:val="002765E3"/>
    <w:rsid w:val="002E6525"/>
    <w:rsid w:val="002E65B8"/>
    <w:rsid w:val="0034789D"/>
    <w:rsid w:val="00391089"/>
    <w:rsid w:val="0039197C"/>
    <w:rsid w:val="003B02FB"/>
    <w:rsid w:val="003E139E"/>
    <w:rsid w:val="004143F5"/>
    <w:rsid w:val="00430251"/>
    <w:rsid w:val="004508FA"/>
    <w:rsid w:val="00462C7D"/>
    <w:rsid w:val="00487C91"/>
    <w:rsid w:val="00497CE8"/>
    <w:rsid w:val="004A0450"/>
    <w:rsid w:val="004D4AED"/>
    <w:rsid w:val="004E18B7"/>
    <w:rsid w:val="004E284E"/>
    <w:rsid w:val="00502443"/>
    <w:rsid w:val="00557890"/>
    <w:rsid w:val="005A6754"/>
    <w:rsid w:val="005A6A80"/>
    <w:rsid w:val="005B2556"/>
    <w:rsid w:val="005C5876"/>
    <w:rsid w:val="005C5D7B"/>
    <w:rsid w:val="005F46AE"/>
    <w:rsid w:val="00605EB7"/>
    <w:rsid w:val="00644447"/>
    <w:rsid w:val="00662287"/>
    <w:rsid w:val="00686101"/>
    <w:rsid w:val="006975A8"/>
    <w:rsid w:val="006C5206"/>
    <w:rsid w:val="006F2557"/>
    <w:rsid w:val="00711B1C"/>
    <w:rsid w:val="00716F83"/>
    <w:rsid w:val="00730C74"/>
    <w:rsid w:val="007312D4"/>
    <w:rsid w:val="00742E5E"/>
    <w:rsid w:val="00771948"/>
    <w:rsid w:val="0077731E"/>
    <w:rsid w:val="007A73A2"/>
    <w:rsid w:val="007D04D7"/>
    <w:rsid w:val="007F2400"/>
    <w:rsid w:val="0080140B"/>
    <w:rsid w:val="008030EB"/>
    <w:rsid w:val="008055AA"/>
    <w:rsid w:val="00822DBA"/>
    <w:rsid w:val="00846005"/>
    <w:rsid w:val="008632A5"/>
    <w:rsid w:val="00880ED0"/>
    <w:rsid w:val="00883416"/>
    <w:rsid w:val="008858BF"/>
    <w:rsid w:val="008962C2"/>
    <w:rsid w:val="008A12F6"/>
    <w:rsid w:val="008B311E"/>
    <w:rsid w:val="008C080A"/>
    <w:rsid w:val="008C365E"/>
    <w:rsid w:val="008C56E7"/>
    <w:rsid w:val="00915969"/>
    <w:rsid w:val="00923F9C"/>
    <w:rsid w:val="0093764F"/>
    <w:rsid w:val="00957929"/>
    <w:rsid w:val="009A0F99"/>
    <w:rsid w:val="009C7349"/>
    <w:rsid w:val="009E1EAF"/>
    <w:rsid w:val="009F62BE"/>
    <w:rsid w:val="00A00C46"/>
    <w:rsid w:val="00A04049"/>
    <w:rsid w:val="00A1022A"/>
    <w:rsid w:val="00A35D95"/>
    <w:rsid w:val="00A45B64"/>
    <w:rsid w:val="00A62795"/>
    <w:rsid w:val="00A80490"/>
    <w:rsid w:val="00AA3205"/>
    <w:rsid w:val="00AD346C"/>
    <w:rsid w:val="00B412CE"/>
    <w:rsid w:val="00B6463E"/>
    <w:rsid w:val="00C1402C"/>
    <w:rsid w:val="00C66D88"/>
    <w:rsid w:val="00C870AB"/>
    <w:rsid w:val="00CB2037"/>
    <w:rsid w:val="00CE4422"/>
    <w:rsid w:val="00D11996"/>
    <w:rsid w:val="00D56948"/>
    <w:rsid w:val="00D57967"/>
    <w:rsid w:val="00D713AC"/>
    <w:rsid w:val="00DB4C17"/>
    <w:rsid w:val="00DC7425"/>
    <w:rsid w:val="00DD6EF6"/>
    <w:rsid w:val="00DE1843"/>
    <w:rsid w:val="00DF6114"/>
    <w:rsid w:val="00E4003C"/>
    <w:rsid w:val="00E50B61"/>
    <w:rsid w:val="00E55869"/>
    <w:rsid w:val="00E67D7A"/>
    <w:rsid w:val="00E70BBA"/>
    <w:rsid w:val="00EB6270"/>
    <w:rsid w:val="00EC3858"/>
    <w:rsid w:val="00F07C4F"/>
    <w:rsid w:val="00F24A6F"/>
    <w:rsid w:val="00F94E90"/>
    <w:rsid w:val="00FA6CE1"/>
    <w:rsid w:val="00FB4937"/>
    <w:rsid w:val="00FE03F4"/>
    <w:rsid w:val="00FF4833"/>
    <w:rsid w:val="7EBBC6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505</Words>
  <Characters>2885</Characters>
  <Lines>24</Lines>
  <Paragraphs>6</Paragraphs>
  <TotalTime>302</TotalTime>
  <ScaleCrop>false</ScaleCrop>
  <LinksUpToDate>false</LinksUpToDate>
  <CharactersWithSpaces>3384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2024-01-11T09:51:00Z</dcterms:created>
  <dc:creator>AutoBVT</dc:creator>
  <cp:lastModifiedBy>kylin</cp:lastModifiedBy>
  <cp:lastPrinted>2023-02-09T14:41:00Z</cp:lastPrinted>
  <dcterms:modified xsi:type="dcterms:W3CDTF">2024-01-23T14:45:09Z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