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0" w:beforeAutospacing="0" w:after="0" w:afterAutospacing="0" w:line="600" w:lineRule="exact"/>
        <w:jc w:val="center"/>
        <w:rPr>
          <w:rFonts w:ascii="Times New Roman" w:hAnsi="Times New Roman" w:eastAsia="方正小标宋简体"/>
          <w:color w:val="auto"/>
          <w:spacing w:val="10"/>
          <w:sz w:val="44"/>
          <w:szCs w:val="44"/>
        </w:rPr>
      </w:pPr>
      <w:r>
        <w:rPr>
          <w:rFonts w:hint="eastAsia" w:ascii="Times New Roman" w:hAnsi="Times New Roman" w:eastAsia="方正小标宋简体"/>
          <w:color w:val="auto"/>
          <w:spacing w:val="10"/>
          <w:sz w:val="44"/>
          <w:szCs w:val="44"/>
          <w:lang w:val="en-US" w:eastAsia="zh-CN"/>
        </w:rPr>
        <w:t>泰安市泰山区退役军人事务局</w:t>
      </w:r>
      <w:r>
        <w:rPr>
          <w:rFonts w:hint="eastAsia" w:ascii="Times New Roman" w:hAnsi="Times New Roman" w:eastAsia="方正小标宋简体"/>
          <w:color w:val="auto"/>
          <w:spacing w:val="10"/>
          <w:sz w:val="44"/>
          <w:szCs w:val="44"/>
          <w:lang w:val="en-US" w:eastAsia="zh-CN"/>
        </w:rPr>
        <w:br w:type="textWrapping"/>
      </w:r>
      <w:r>
        <w:rPr>
          <w:rFonts w:hint="eastAsia" w:ascii="Times New Roman" w:hAnsi="Times New Roman" w:eastAsia="方正小标宋简体"/>
          <w:color w:val="auto"/>
          <w:spacing w:val="10"/>
          <w:sz w:val="44"/>
          <w:szCs w:val="44"/>
        </w:rPr>
        <w:t>202</w:t>
      </w:r>
      <w:r>
        <w:rPr>
          <w:rFonts w:hint="default" w:ascii="Times New Roman" w:hAnsi="Times New Roman" w:eastAsia="方正小标宋简体"/>
          <w:color w:val="auto"/>
          <w:spacing w:val="10"/>
          <w:sz w:val="44"/>
          <w:szCs w:val="44"/>
          <w:lang w:val="en"/>
        </w:rPr>
        <w:t>4</w:t>
      </w:r>
      <w:r>
        <w:rPr>
          <w:rFonts w:ascii="Times New Roman" w:hAnsi="Times New Roman" w:eastAsia="方正小标宋简体"/>
          <w:color w:val="auto"/>
          <w:spacing w:val="10"/>
          <w:sz w:val="44"/>
          <w:szCs w:val="44"/>
        </w:rPr>
        <w:t>年政府信息公开工作年度报告</w:t>
      </w:r>
    </w:p>
    <w:p>
      <w:pPr>
        <w:pStyle w:val="5"/>
        <w:spacing w:before="0" w:beforeAutospacing="0" w:after="0" w:afterAutospacing="0" w:line="600" w:lineRule="exact"/>
        <w:ind w:firstLine="880" w:firstLineChars="200"/>
        <w:jc w:val="both"/>
        <w:rPr>
          <w:rFonts w:ascii="Times New Roman" w:hAnsi="Times New Roman" w:eastAsia="方正小标宋简体"/>
          <w:color w:val="auto"/>
          <w:sz w:val="44"/>
          <w:szCs w:val="44"/>
        </w:rPr>
      </w:pPr>
    </w:p>
    <w:p>
      <w:pPr>
        <w:pStyle w:val="5"/>
        <w:spacing w:before="0" w:beforeAutospacing="0" w:after="0" w:afterAutospacing="0" w:line="600" w:lineRule="exact"/>
        <w:ind w:firstLine="640" w:firstLineChars="200"/>
        <w:jc w:val="both"/>
        <w:rPr>
          <w:rFonts w:hint="eastAsia" w:ascii="仿宋_GB2312" w:eastAsia="仿宋_GB2312"/>
          <w:color w:val="auto"/>
          <w:sz w:val="32"/>
          <w:szCs w:val="32"/>
          <w:lang w:eastAsia="zh-CN"/>
        </w:rPr>
      </w:pPr>
      <w:r>
        <w:rPr>
          <w:rFonts w:hint="eastAsia" w:ascii="仿宋_GB2312" w:eastAsia="仿宋_GB2312"/>
          <w:color w:val="auto"/>
          <w:sz w:val="32"/>
          <w:szCs w:val="32"/>
        </w:rPr>
        <w:t>根据《中华人民共和国政府信息公开条例》，特向社会公布202</w:t>
      </w:r>
      <w:r>
        <w:rPr>
          <w:rFonts w:hint="default" w:ascii="仿宋_GB2312" w:eastAsia="仿宋_GB2312"/>
          <w:color w:val="auto"/>
          <w:sz w:val="32"/>
          <w:szCs w:val="32"/>
          <w:lang w:val="en"/>
        </w:rPr>
        <w:t>4</w:t>
      </w:r>
      <w:r>
        <w:rPr>
          <w:rFonts w:hint="eastAsia" w:ascii="仿宋_GB2312" w:eastAsia="仿宋_GB2312"/>
          <w:color w:val="auto"/>
          <w:sz w:val="32"/>
          <w:szCs w:val="32"/>
        </w:rPr>
        <w:t>年本机关政府信息公开工作年度报告。全文包括：总体情况；行政机关主动公开政府信息的情况；行政机关收到和处理政府信息公开申请的情况；因政府信息公开工作被申请行政复议、提起行政诉讼的情况；政府信息公开工作存在的主要问题及改进情况；其他需要报告的事项。报告中所列数据的统计期限自202</w:t>
      </w:r>
      <w:r>
        <w:rPr>
          <w:rFonts w:hint="default" w:ascii="仿宋_GB2312" w:eastAsia="仿宋_GB2312"/>
          <w:color w:val="auto"/>
          <w:sz w:val="32"/>
          <w:szCs w:val="32"/>
          <w:lang w:val="en"/>
        </w:rPr>
        <w:t>4</w:t>
      </w:r>
      <w:r>
        <w:rPr>
          <w:rFonts w:hint="eastAsia" w:ascii="仿宋_GB2312" w:eastAsia="仿宋_GB2312"/>
          <w:color w:val="auto"/>
          <w:sz w:val="32"/>
          <w:szCs w:val="32"/>
        </w:rPr>
        <w:t>年1月1日起至202</w:t>
      </w:r>
      <w:r>
        <w:rPr>
          <w:rFonts w:hint="default" w:ascii="仿宋_GB2312" w:eastAsia="仿宋_GB2312"/>
          <w:color w:val="auto"/>
          <w:sz w:val="32"/>
          <w:szCs w:val="32"/>
          <w:lang w:val="en"/>
        </w:rPr>
        <w:t>4</w:t>
      </w:r>
      <w:r>
        <w:rPr>
          <w:rFonts w:hint="eastAsia" w:ascii="仿宋_GB2312" w:eastAsia="仿宋_GB2312"/>
          <w:color w:val="auto"/>
          <w:sz w:val="32"/>
          <w:szCs w:val="32"/>
        </w:rPr>
        <w:t>年12月31日止。</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一、总体情况</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年，在</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highlight w:val="none"/>
        </w:rPr>
        <w:t>委、</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highlight w:val="none"/>
        </w:rPr>
        <w:t>政府的</w:t>
      </w:r>
      <w:r>
        <w:rPr>
          <w:rFonts w:hint="eastAsia" w:ascii="仿宋" w:hAnsi="仿宋" w:eastAsia="仿宋" w:cs="仿宋"/>
          <w:sz w:val="32"/>
          <w:szCs w:val="32"/>
          <w:highlight w:val="none"/>
          <w:lang w:val="en-US" w:eastAsia="zh-CN"/>
        </w:rPr>
        <w:t>正确</w:t>
      </w:r>
      <w:r>
        <w:rPr>
          <w:rFonts w:hint="eastAsia" w:ascii="仿宋" w:hAnsi="仿宋" w:eastAsia="仿宋" w:cs="仿宋"/>
          <w:sz w:val="32"/>
          <w:szCs w:val="32"/>
          <w:highlight w:val="none"/>
        </w:rPr>
        <w:t>领导下，在</w:t>
      </w:r>
      <w:r>
        <w:rPr>
          <w:rFonts w:hint="eastAsia" w:ascii="仿宋" w:hAnsi="仿宋" w:eastAsia="仿宋" w:cs="仿宋"/>
          <w:sz w:val="32"/>
          <w:szCs w:val="32"/>
          <w:highlight w:val="none"/>
          <w:lang w:val="en-US" w:eastAsia="zh-CN"/>
        </w:rPr>
        <w:t>区</w:t>
      </w:r>
      <w:r>
        <w:rPr>
          <w:rFonts w:hint="eastAsia" w:ascii="仿宋" w:hAnsi="仿宋" w:eastAsia="仿宋" w:cs="仿宋"/>
          <w:sz w:val="32"/>
          <w:szCs w:val="32"/>
          <w:highlight w:val="none"/>
        </w:rPr>
        <w:t>政务公开</w:t>
      </w:r>
      <w:r>
        <w:rPr>
          <w:rFonts w:hint="eastAsia" w:ascii="仿宋" w:hAnsi="仿宋" w:eastAsia="仿宋" w:cs="仿宋"/>
          <w:sz w:val="32"/>
          <w:szCs w:val="32"/>
          <w:highlight w:val="none"/>
          <w:lang w:val="en-US" w:eastAsia="zh-CN"/>
        </w:rPr>
        <w:t>服务中心</w:t>
      </w:r>
      <w:r>
        <w:rPr>
          <w:rFonts w:hint="eastAsia" w:ascii="仿宋" w:hAnsi="仿宋" w:eastAsia="仿宋" w:cs="仿宋"/>
          <w:sz w:val="32"/>
          <w:szCs w:val="32"/>
          <w:highlight w:val="none"/>
        </w:rPr>
        <w:t>的</w:t>
      </w:r>
      <w:r>
        <w:rPr>
          <w:rFonts w:hint="eastAsia" w:ascii="仿宋" w:hAnsi="仿宋" w:eastAsia="仿宋" w:cs="仿宋"/>
          <w:sz w:val="32"/>
          <w:szCs w:val="32"/>
          <w:highlight w:val="none"/>
          <w:lang w:val="en-US" w:eastAsia="zh-CN"/>
        </w:rPr>
        <w:t>大力</w:t>
      </w:r>
      <w:r>
        <w:rPr>
          <w:rFonts w:hint="eastAsia" w:ascii="仿宋" w:hAnsi="仿宋" w:eastAsia="仿宋" w:cs="仿宋"/>
          <w:sz w:val="32"/>
          <w:szCs w:val="32"/>
          <w:highlight w:val="none"/>
        </w:rPr>
        <w:t>指导下，</w:t>
      </w:r>
      <w:r>
        <w:rPr>
          <w:rFonts w:hint="eastAsia" w:ascii="仿宋" w:hAnsi="仿宋" w:eastAsia="仿宋" w:cs="仿宋"/>
          <w:sz w:val="32"/>
          <w:szCs w:val="32"/>
          <w:highlight w:val="none"/>
          <w:lang w:val="en-US" w:eastAsia="zh-CN"/>
        </w:rPr>
        <w:t>我局认真对照</w:t>
      </w:r>
      <w:r>
        <w:rPr>
          <w:rFonts w:hint="eastAsia" w:ascii="仿宋" w:hAnsi="仿宋" w:eastAsia="仿宋" w:cs="仿宋"/>
          <w:sz w:val="32"/>
          <w:szCs w:val="32"/>
          <w:highlight w:val="none"/>
        </w:rPr>
        <w:t>《中华人民共和国政府信息公开条例</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国务院办公厅</w:t>
      </w:r>
      <w:r>
        <w:rPr>
          <w:rFonts w:hint="eastAsia" w:ascii="仿宋" w:hAnsi="仿宋" w:eastAsia="仿宋" w:cs="仿宋"/>
          <w:sz w:val="32"/>
          <w:szCs w:val="32"/>
          <w:highlight w:val="none"/>
          <w:lang w:eastAsia="zh-CN"/>
        </w:rPr>
        <w:t>关于全面推进政务公开工作的意见》</w:t>
      </w:r>
      <w:r>
        <w:rPr>
          <w:rFonts w:hint="eastAsia" w:ascii="仿宋" w:hAnsi="仿宋" w:eastAsia="仿宋" w:cs="仿宋"/>
          <w:sz w:val="32"/>
          <w:szCs w:val="32"/>
          <w:highlight w:val="none"/>
          <w:lang w:val="en-US" w:eastAsia="zh-CN"/>
        </w:rPr>
        <w:t>等文件</w:t>
      </w:r>
      <w:r>
        <w:rPr>
          <w:rFonts w:hint="eastAsia" w:ascii="仿宋" w:hAnsi="仿宋" w:eastAsia="仿宋" w:cs="仿宋"/>
          <w:sz w:val="32"/>
          <w:szCs w:val="32"/>
          <w:highlight w:val="none"/>
          <w:lang w:eastAsia="zh-CN"/>
        </w:rPr>
        <w:t>和省、市、区政府信息公开工作要求</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准确把握</w:t>
      </w:r>
      <w:r>
        <w:rPr>
          <w:rFonts w:hint="eastAsia" w:ascii="仿宋" w:hAnsi="仿宋" w:eastAsia="仿宋" w:cs="仿宋"/>
          <w:sz w:val="32"/>
          <w:szCs w:val="32"/>
          <w:highlight w:val="none"/>
          <w:lang w:eastAsia="zh-CN"/>
        </w:rPr>
        <w:t>新时代政务公开新形势、新要求，</w:t>
      </w:r>
      <w:r>
        <w:rPr>
          <w:rFonts w:hint="eastAsia" w:ascii="仿宋" w:hAnsi="仿宋" w:eastAsia="仿宋" w:cs="仿宋"/>
          <w:sz w:val="32"/>
          <w:szCs w:val="32"/>
          <w:highlight w:val="none"/>
          <w:lang w:val="en-US" w:eastAsia="zh-CN"/>
        </w:rPr>
        <w:t>不断强化政务公开意识，加强组织领导，统筹政务公开与安全保密工作，对政务公开重点工作进行全面安排落实。</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firstLine="640" w:firstLineChars="200"/>
        <w:jc w:val="left"/>
        <w:textAlignment w:val="auto"/>
        <w:rPr>
          <w:rFonts w:hint="default" w:ascii="仿宋" w:hAnsi="仿宋" w:eastAsia="仿宋" w:cs="仿宋"/>
          <w:sz w:val="32"/>
          <w:szCs w:val="32"/>
          <w:highlight w:val="none"/>
          <w:lang w:val="en-US"/>
        </w:rPr>
      </w:pPr>
      <w:r>
        <w:rPr>
          <w:rFonts w:hint="eastAsia" w:ascii="仿宋" w:hAnsi="仿宋" w:eastAsia="仿宋" w:cs="仿宋"/>
          <w:sz w:val="32"/>
          <w:szCs w:val="32"/>
          <w:highlight w:val="none"/>
          <w:lang w:val="en-US" w:eastAsia="zh-CN"/>
        </w:rPr>
        <w:t>（一）主动公开政府信息。2024年，泰山区退役军人事务局主动公</w:t>
      </w:r>
      <w:r>
        <w:rPr>
          <w:rFonts w:hint="eastAsia" w:ascii="仿宋" w:hAnsi="仿宋" w:eastAsia="仿宋" w:cs="仿宋"/>
          <w:color w:val="auto"/>
          <w:sz w:val="32"/>
          <w:szCs w:val="32"/>
          <w:highlight w:val="none"/>
          <w:lang w:val="en-US" w:eastAsia="zh-CN"/>
        </w:rPr>
        <w:t>开机构职能、财政预决算、稳岗就业等栏目各类</w:t>
      </w:r>
      <w:r>
        <w:rPr>
          <w:rFonts w:hint="eastAsia" w:ascii="仿宋" w:hAnsi="仿宋" w:eastAsia="仿宋" w:cs="仿宋"/>
          <w:sz w:val="32"/>
          <w:szCs w:val="32"/>
          <w:highlight w:val="none"/>
          <w:lang w:val="en-US" w:eastAsia="zh-CN"/>
        </w:rPr>
        <w:t>政府信息60余条，不断提高内容质量，拓宽信息公开渠道，及时准确公开群众所关心关注的信息，更好发挥以公开促落实、优服务、强监管作用。</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（二）依申请公开及受理咨询情况。2024年，泰山区退役军人事务局受理依申请公开事项0件。</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三）规范政府信息管理。我局不断优化完善政务公开工作监督管理制度，高度重视政务公开工作，按照“谁起草谁负责”“谁审核谁负责”“谁签发谁负责”的原则，明确专人管理，强化主体责任，严格按“三审”流程对公开信息进行审核发布，形成了上下贯通、信息畅通、层层落实、协调配合的工作体系。</w:t>
      </w:r>
      <w:bookmarkStart w:id="10" w:name="_GoBack"/>
      <w:bookmarkEnd w:id="10"/>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四）加强平台建设。泰山区退役军人事务局加强信息共享及信息公开平台建设，完善政务公开渠道，发挥政务新媒体传播优势，以图文、视频等形式发布群众百姓关心关注的退役安置、就业创业、优待抚恤等相关信息，及时发布机关动态、重要会议、党建活动、志愿服务、业务工作等信息，畅通政民互动渠道，努力做到公开方式灵活多样，回应群众关切问题及时到位。</w:t>
      </w:r>
    </w:p>
    <w:p>
      <w:pPr>
        <w:keepNext w:val="0"/>
        <w:keepLines w:val="0"/>
        <w:pageBreakBefore w:val="0"/>
        <w:kinsoku/>
        <w:wordWrap/>
        <w:overflowPunct/>
        <w:topLinePunct w:val="0"/>
        <w:autoSpaceDE/>
        <w:autoSpaceDN/>
        <w:bidi w:val="0"/>
        <w:adjustRightInd/>
        <w:snapToGrid/>
        <w:spacing w:beforeAutospacing="0" w:afterAutospacing="0" w:line="580" w:lineRule="exact"/>
        <w:ind w:firstLine="640" w:firstLineChars="200"/>
        <w:textAlignment w:val="auto"/>
        <w:rPr>
          <w:rFonts w:hint="default" w:ascii="仿宋" w:hAnsi="仿宋" w:eastAsia="仿宋" w:cs="仿宋"/>
          <w:color w:val="auto"/>
          <w:sz w:val="32"/>
          <w:szCs w:val="32"/>
          <w:highlight w:val="none"/>
          <w:lang w:val="en-US" w:eastAsia="zh-CN"/>
        </w:rPr>
      </w:pPr>
      <w:r>
        <w:rPr>
          <w:rFonts w:hint="eastAsia" w:ascii="仿宋" w:hAnsi="仿宋" w:eastAsia="仿宋" w:cs="仿宋"/>
          <w:sz w:val="32"/>
          <w:szCs w:val="32"/>
          <w:highlight w:val="none"/>
          <w:lang w:val="en-US" w:eastAsia="zh-CN"/>
        </w:rPr>
        <w:t>（五）完善监督保障。进一步完善保障监督制度，成立以局主要负责同志为组长，班子成员为副组长，各科室负责人为成员的政府信息公开工作格局，明确局综合科负责政务信息公开的统筹协调，对涉及科室栏目信息及时进行调度发布，对已公开栏目信息进行动态维护和调整。定期组织各科科长、工作人员开展政务公开业务培训，强化责任意识，提升政务公开工作能力</w:t>
      </w:r>
      <w:r>
        <w:rPr>
          <w:rFonts w:hint="eastAsia" w:ascii="仿宋" w:hAnsi="仿宋" w:eastAsia="仿宋" w:cs="仿宋"/>
          <w:color w:val="auto"/>
          <w:sz w:val="32"/>
          <w:szCs w:val="32"/>
          <w:highlight w:val="none"/>
          <w:lang w:val="en-US" w:eastAsia="zh-CN"/>
        </w:rPr>
        <w:t>，定期调度政务公开工作重点工作落实情况，组织召开本部门的政务公开工作培训。</w:t>
      </w:r>
    </w:p>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二、</w:t>
      </w:r>
      <w:r>
        <w:rPr>
          <w:rFonts w:ascii="黑体" w:hAnsi="黑体" w:eastAsia="黑体"/>
          <w:color w:val="auto"/>
          <w:sz w:val="32"/>
          <w:szCs w:val="32"/>
        </w:rPr>
        <w:t>主动公开政府信息情况</w:t>
      </w:r>
    </w:p>
    <w:p>
      <w:pPr>
        <w:rPr>
          <w:rFonts w:ascii="黑体" w:hAnsi="黑体" w:eastAsia="黑体"/>
          <w:color w:val="auto"/>
          <w:sz w:val="32"/>
          <w:szCs w:val="32"/>
        </w:rPr>
      </w:pPr>
    </w:p>
    <w:tbl>
      <w:tblPr>
        <w:tblStyle w:val="6"/>
        <w:tblW w:w="5000" w:type="pct"/>
        <w:tblInd w:w="0" w:type="dxa"/>
        <w:tblLayout w:type="autofit"/>
        <w:tblCellMar>
          <w:top w:w="0" w:type="dxa"/>
          <w:left w:w="108" w:type="dxa"/>
          <w:bottom w:w="0" w:type="dxa"/>
          <w:right w:w="108" w:type="dxa"/>
        </w:tblCellMar>
      </w:tblPr>
      <w:tblGrid>
        <w:gridCol w:w="2236"/>
        <w:gridCol w:w="2236"/>
        <w:gridCol w:w="2237"/>
        <w:gridCol w:w="2237"/>
      </w:tblGrid>
      <w:tr>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第二十条第（一）项</w:t>
            </w:r>
          </w:p>
        </w:tc>
      </w:tr>
      <w:tr>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本年制发件数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本年废止件数</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现行有效件数</w:t>
            </w:r>
          </w:p>
        </w:tc>
      </w:tr>
      <w:tr>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规章</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val="en-US"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行政规范性文件</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c>
          <w:tcPr>
            <w:tcW w:w="1250" w:type="pct"/>
            <w:tcBorders>
              <w:top w:val="nil"/>
              <w:left w:val="nil"/>
              <w:bottom w:val="single" w:color="auto" w:sz="8" w:space="0"/>
              <w:right w:val="single" w:color="auto"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第二十条第（五）项</w:t>
            </w:r>
          </w:p>
        </w:tc>
      </w:tr>
      <w:tr>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行政许可</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eastAsia="zh-CN"/>
              </w:rPr>
            </w:pPr>
            <w:r>
              <w:rPr>
                <w:rFonts w:hint="eastAsia" w:ascii="仿宋_GB2312" w:hAnsi="Calibri" w:eastAsia="仿宋_GB2312" w:cs="Calibri"/>
                <w:color w:val="000000"/>
                <w:kern w:val="0"/>
                <w:szCs w:val="21"/>
                <w:lang w:val="en-US" w:eastAsia="zh-CN"/>
              </w:rPr>
              <w:t>0</w:t>
            </w:r>
          </w:p>
        </w:tc>
      </w:tr>
      <w:tr>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第二十条第（六）项</w:t>
            </w:r>
          </w:p>
        </w:tc>
      </w:tr>
      <w:tr>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本年处理决定数量</w:t>
            </w:r>
          </w:p>
        </w:tc>
      </w:tr>
      <w:tr>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行政处罚</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行政强制</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宋体" w:eastAsia="仿宋_GB2312" w:cs="宋体"/>
                <w:color w:val="000000"/>
                <w:kern w:val="0"/>
                <w:szCs w:val="21"/>
                <w:lang w:eastAsia="zh-CN"/>
              </w:rPr>
            </w:pPr>
            <w:r>
              <w:rPr>
                <w:rFonts w:hint="eastAsia" w:ascii="仿宋_GB2312" w:hAnsi="宋体" w:eastAsia="仿宋_GB2312" w:cs="宋体"/>
                <w:color w:val="000000"/>
                <w:kern w:val="0"/>
                <w:szCs w:val="21"/>
                <w:lang w:val="en-US" w:eastAsia="zh-CN"/>
              </w:rPr>
              <w:t>0</w:t>
            </w:r>
          </w:p>
        </w:tc>
      </w:tr>
      <w:tr>
        <w:trPr>
          <w:trHeight w:val="567" w:hRule="atLeast"/>
        </w:trPr>
        <w:tc>
          <w:tcPr>
            <w:tcW w:w="5000" w:type="pct"/>
            <w:gridSpan w:val="4"/>
            <w:tcBorders>
              <w:top w:val="single" w:color="auto" w:sz="8" w:space="0"/>
              <w:left w:val="single" w:color="auto" w:sz="8" w:space="0"/>
              <w:bottom w:val="single" w:color="auto" w:sz="8" w:space="0"/>
              <w:right w:val="single" w:color="000000" w:sz="8" w:space="0"/>
            </w:tcBorders>
            <w:shd w:val="clear" w:color="000000" w:fill="C6D9F1"/>
            <w:vAlign w:val="center"/>
          </w:tcPr>
          <w:p>
            <w:pPr>
              <w:widowControl/>
              <w:jc w:val="center"/>
              <w:rPr>
                <w:rFonts w:ascii="黑体" w:hAnsi="黑体" w:eastAsia="黑体" w:cs="宋体"/>
                <w:color w:val="000000"/>
                <w:kern w:val="0"/>
                <w:szCs w:val="21"/>
              </w:rPr>
            </w:pPr>
            <w:r>
              <w:rPr>
                <w:rFonts w:hint="eastAsia" w:ascii="黑体" w:hAnsi="黑体" w:eastAsia="黑体" w:cs="宋体"/>
                <w:color w:val="000000"/>
                <w:kern w:val="0"/>
                <w:szCs w:val="21"/>
              </w:rPr>
              <w:t>第二十条第（八）项</w:t>
            </w:r>
          </w:p>
        </w:tc>
      </w:tr>
      <w:tr>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信息内容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本年收费金额（单位：万元）</w:t>
            </w:r>
          </w:p>
        </w:tc>
      </w:tr>
      <w:tr>
        <w:trPr>
          <w:trHeight w:val="567" w:hRule="atLeast"/>
        </w:trPr>
        <w:tc>
          <w:tcPr>
            <w:tcW w:w="1250" w:type="pct"/>
            <w:tcBorders>
              <w:top w:val="nil"/>
              <w:left w:val="single" w:color="auto" w:sz="8" w:space="0"/>
              <w:bottom w:val="single" w:color="auto" w:sz="8" w:space="0"/>
              <w:right w:val="single" w:color="auto" w:sz="8" w:space="0"/>
            </w:tcBorders>
            <w:shd w:val="clear" w:color="auto" w:fill="auto"/>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行政事业性收费</w:t>
            </w:r>
          </w:p>
        </w:tc>
        <w:tc>
          <w:tcPr>
            <w:tcW w:w="3750" w:type="pct"/>
            <w:gridSpan w:val="3"/>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仿宋_GB2312" w:hAnsi="Calibri" w:eastAsia="仿宋_GB2312" w:cs="Calibri"/>
                <w:color w:val="000000"/>
                <w:kern w:val="0"/>
                <w:szCs w:val="21"/>
                <w:lang w:val="en-US" w:eastAsia="zh-CN"/>
              </w:rPr>
            </w:pPr>
            <w:r>
              <w:rPr>
                <w:rFonts w:hint="eastAsia" w:ascii="仿宋_GB2312" w:hAnsi="Calibri" w:eastAsia="仿宋_GB2312" w:cs="Calibri"/>
                <w:color w:val="000000"/>
                <w:kern w:val="0"/>
                <w:szCs w:val="21"/>
                <w:lang w:val="en-US" w:eastAsia="zh-CN"/>
              </w:rPr>
              <w:t>0</w:t>
            </w:r>
          </w:p>
        </w:tc>
      </w:tr>
    </w:tbl>
    <w:p>
      <w:pPr>
        <w:ind w:firstLine="640" w:firstLineChars="200"/>
        <w:rPr>
          <w:rFonts w:ascii="黑体" w:hAnsi="黑体" w:eastAsia="黑体"/>
          <w:color w:val="auto"/>
          <w:sz w:val="32"/>
          <w:szCs w:val="32"/>
        </w:rPr>
      </w:pPr>
      <w:r>
        <w:rPr>
          <w:rFonts w:hint="eastAsia" w:ascii="黑体" w:hAnsi="黑体" w:eastAsia="黑体"/>
          <w:color w:val="auto"/>
          <w:sz w:val="32"/>
          <w:szCs w:val="32"/>
          <w:lang w:val="en-US" w:eastAsia="zh-CN"/>
        </w:rPr>
        <w:t>三、</w:t>
      </w:r>
      <w:r>
        <w:rPr>
          <w:rFonts w:ascii="黑体" w:hAnsi="黑体" w:eastAsia="黑体"/>
          <w:color w:val="auto"/>
          <w:sz w:val="32"/>
          <w:szCs w:val="32"/>
        </w:rPr>
        <w:t>收到和处理政府信息公开申请情况</w:t>
      </w:r>
    </w:p>
    <w:p>
      <w:pPr>
        <w:pStyle w:val="5"/>
        <w:numPr>
          <w:ilvl w:val="0"/>
          <w:numId w:val="0"/>
        </w:numPr>
        <w:spacing w:before="0" w:beforeAutospacing="0" w:after="0" w:afterAutospacing="0" w:line="600" w:lineRule="exact"/>
        <w:jc w:val="both"/>
        <w:rPr>
          <w:rFonts w:ascii="黑体" w:hAnsi="黑体" w:eastAsia="黑体"/>
          <w:color w:val="auto"/>
          <w:sz w:val="32"/>
          <w:szCs w:val="32"/>
        </w:rPr>
      </w:pPr>
    </w:p>
    <w:tbl>
      <w:tblPr>
        <w:tblStyle w:val="6"/>
        <w:tblW w:w="99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0" w:type="dxa"/>
          <w:bottom w:w="0" w:type="dxa"/>
          <w:right w:w="0" w:type="dxa"/>
        </w:tblCellMar>
      </w:tblPr>
      <w:tblGrid>
        <w:gridCol w:w="416"/>
        <w:gridCol w:w="1701"/>
        <w:gridCol w:w="2976"/>
        <w:gridCol w:w="829"/>
        <w:gridCol w:w="567"/>
        <w:gridCol w:w="567"/>
        <w:gridCol w:w="731"/>
        <w:gridCol w:w="708"/>
        <w:gridCol w:w="567"/>
        <w:gridCol w:w="85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13" w:hRule="atLeast"/>
          <w:jc w:val="center"/>
        </w:trPr>
        <w:tc>
          <w:tcPr>
            <w:tcW w:w="5093" w:type="dxa"/>
            <w:gridSpan w:val="3"/>
            <w:vMerge w:val="restart"/>
            <w:shd w:val="clear" w:color="auto" w:fill="auto"/>
            <w:tcMar>
              <w:left w:w="108" w:type="dxa"/>
              <w:right w:w="108" w:type="dxa"/>
            </w:tcMar>
            <w:vAlign w:val="center"/>
          </w:tcPr>
          <w:p>
            <w:pPr>
              <w:widowControl/>
              <w:jc w:val="center"/>
              <w:rPr>
                <w:rFonts w:ascii="楷体_GB2312" w:hAnsi="黑体" w:eastAsia="楷体_GB2312"/>
                <w:kern w:val="0"/>
                <w:szCs w:val="21"/>
              </w:rPr>
            </w:pPr>
            <w:r>
              <w:rPr>
                <w:rFonts w:hint="eastAsia" w:ascii="楷体_GB2312" w:hAnsi="黑体" w:eastAsia="楷体_GB2312"/>
                <w:kern w:val="0"/>
                <w:szCs w:val="21"/>
              </w:rPr>
              <w:t>（本列数据的勾稽关系为：第一项加第二项之和，</w:t>
            </w:r>
          </w:p>
          <w:p>
            <w:pPr>
              <w:widowControl/>
              <w:jc w:val="center"/>
              <w:rPr>
                <w:rFonts w:ascii="仿宋_GB2312" w:hAnsi="Times New Roman" w:eastAsia="仿宋_GB2312"/>
                <w:szCs w:val="21"/>
              </w:rPr>
            </w:pPr>
            <w:r>
              <w:rPr>
                <w:rFonts w:hint="eastAsia" w:ascii="楷体_GB2312" w:hAnsi="黑体" w:eastAsia="楷体_GB2312"/>
                <w:kern w:val="0"/>
                <w:szCs w:val="21"/>
              </w:rPr>
              <w:t>等于第三项加第四项之和）</w:t>
            </w:r>
          </w:p>
        </w:tc>
        <w:tc>
          <w:tcPr>
            <w:tcW w:w="4820" w:type="dxa"/>
            <w:gridSpan w:val="7"/>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申请人情况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25"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自然人</w:t>
            </w:r>
          </w:p>
        </w:tc>
        <w:tc>
          <w:tcPr>
            <w:tcW w:w="3140" w:type="dxa"/>
            <w:gridSpan w:val="5"/>
            <w:shd w:val="clear" w:color="auto" w:fill="auto"/>
            <w:tcMar>
              <w:left w:w="108" w:type="dxa"/>
              <w:right w:w="108" w:type="dxa"/>
            </w:tcMar>
            <w:vAlign w:val="center"/>
          </w:tcPr>
          <w:p>
            <w:pPr>
              <w:widowControl/>
              <w:spacing w:line="320" w:lineRule="exact"/>
              <w:jc w:val="center"/>
              <w:rPr>
                <w:rFonts w:ascii="黑体" w:hAnsi="黑体" w:eastAsia="黑体"/>
                <w:szCs w:val="21"/>
              </w:rPr>
            </w:pPr>
            <w:r>
              <w:rPr>
                <w:rFonts w:hint="eastAsia" w:ascii="黑体" w:hAnsi="黑体" w:eastAsia="黑体"/>
                <w:kern w:val="0"/>
                <w:szCs w:val="21"/>
              </w:rPr>
              <w:t>法人或其他组织</w:t>
            </w:r>
          </w:p>
        </w:tc>
        <w:tc>
          <w:tcPr>
            <w:tcW w:w="851" w:type="dxa"/>
            <w:vMerge w:val="restart"/>
            <w:shd w:val="clear" w:color="auto" w:fill="auto"/>
            <w:tcMar>
              <w:left w:w="108" w:type="dxa"/>
              <w:right w:w="108" w:type="dxa"/>
            </w:tcMar>
            <w:vAlign w:val="center"/>
          </w:tcPr>
          <w:p>
            <w:pPr>
              <w:widowControl/>
              <w:jc w:val="center"/>
              <w:rPr>
                <w:rFonts w:ascii="黑体" w:hAnsi="黑体" w:eastAsia="黑体"/>
                <w:szCs w:val="21"/>
              </w:rPr>
            </w:pPr>
            <w:r>
              <w:rPr>
                <w:rFonts w:hint="eastAsia" w:ascii="黑体" w:hAnsi="黑体" w:eastAsia="黑体"/>
                <w:kern w:val="0"/>
                <w:szCs w:val="21"/>
              </w:rPr>
              <w:t>总计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22" w:hRule="atLeast"/>
          <w:jc w:val="center"/>
        </w:trPr>
        <w:tc>
          <w:tcPr>
            <w:tcW w:w="5093" w:type="dxa"/>
            <w:gridSpan w:val="3"/>
            <w:vMerge w:val="continue"/>
            <w:shd w:val="clear" w:color="auto" w:fill="auto"/>
            <w:tcMar>
              <w:left w:w="108" w:type="dxa"/>
              <w:right w:w="108" w:type="dxa"/>
            </w:tcMar>
            <w:vAlign w:val="center"/>
          </w:tcPr>
          <w:p>
            <w:pPr>
              <w:jc w:val="center"/>
              <w:rPr>
                <w:rFonts w:ascii="仿宋_GB2312" w:hAnsi="Times New Roman" w:eastAsia="仿宋_GB2312"/>
                <w:szCs w:val="21"/>
              </w:rPr>
            </w:pPr>
          </w:p>
        </w:tc>
        <w:tc>
          <w:tcPr>
            <w:tcW w:w="829" w:type="dxa"/>
            <w:vMerge w:val="continue"/>
            <w:shd w:val="clear" w:color="auto" w:fill="auto"/>
            <w:tcMar>
              <w:left w:w="108" w:type="dxa"/>
              <w:right w:w="108" w:type="dxa"/>
            </w:tcMar>
            <w:vAlign w:val="center"/>
          </w:tcPr>
          <w:p>
            <w:pPr>
              <w:jc w:val="center"/>
              <w:rPr>
                <w:rFonts w:ascii="黑体" w:hAnsi="黑体" w:eastAsia="黑体"/>
                <w:szCs w:val="21"/>
              </w:rPr>
            </w:pPr>
          </w:p>
        </w:tc>
        <w:tc>
          <w:tcPr>
            <w:tcW w:w="567"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商业企业</w:t>
            </w:r>
          </w:p>
        </w:tc>
        <w:tc>
          <w:tcPr>
            <w:tcW w:w="567"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科研机构</w:t>
            </w:r>
          </w:p>
        </w:tc>
        <w:tc>
          <w:tcPr>
            <w:tcW w:w="731" w:type="dxa"/>
            <w:shd w:val="clear" w:color="auto" w:fill="auto"/>
            <w:tcMar>
              <w:left w:w="108" w:type="dxa"/>
              <w:right w:w="108" w:type="dxa"/>
            </w:tcMar>
            <w:vAlign w:val="center"/>
          </w:tcPr>
          <w:p>
            <w:pPr>
              <w:widowControl/>
              <w:spacing w:line="320" w:lineRule="exact"/>
              <w:ind w:left="-107" w:leftChars="-51" w:right="-107" w:rightChars="-51"/>
              <w:jc w:val="center"/>
              <w:rPr>
                <w:rFonts w:ascii="黑体" w:hAnsi="黑体" w:eastAsia="黑体"/>
                <w:szCs w:val="21"/>
              </w:rPr>
            </w:pPr>
            <w:r>
              <w:rPr>
                <w:rFonts w:hint="eastAsia" w:ascii="黑体" w:hAnsi="黑体" w:eastAsia="黑体"/>
                <w:kern w:val="0"/>
                <w:szCs w:val="21"/>
              </w:rPr>
              <w:t>社会公益组织</w:t>
            </w:r>
          </w:p>
        </w:tc>
        <w:tc>
          <w:tcPr>
            <w:tcW w:w="708" w:type="dxa"/>
            <w:shd w:val="clear" w:color="auto" w:fill="auto"/>
            <w:tcMar>
              <w:left w:w="108" w:type="dxa"/>
              <w:right w:w="108" w:type="dxa"/>
            </w:tcMar>
            <w:vAlign w:val="center"/>
          </w:tcPr>
          <w:p>
            <w:pPr>
              <w:widowControl/>
              <w:spacing w:line="320" w:lineRule="exact"/>
              <w:ind w:left="-106" w:leftChars="-51" w:right="-107" w:rightChars="-51" w:hanging="1"/>
              <w:jc w:val="center"/>
              <w:rPr>
                <w:rFonts w:ascii="黑体" w:hAnsi="黑体" w:eastAsia="黑体"/>
                <w:szCs w:val="21"/>
              </w:rPr>
            </w:pPr>
            <w:r>
              <w:rPr>
                <w:rFonts w:hint="eastAsia" w:ascii="黑体" w:hAnsi="黑体" w:eastAsia="黑体"/>
                <w:kern w:val="0"/>
                <w:szCs w:val="21"/>
              </w:rPr>
              <w:t>法律服务机构</w:t>
            </w:r>
          </w:p>
        </w:tc>
        <w:tc>
          <w:tcPr>
            <w:tcW w:w="567" w:type="dxa"/>
            <w:shd w:val="clear" w:color="auto" w:fill="auto"/>
            <w:tcMar>
              <w:left w:w="108" w:type="dxa"/>
              <w:right w:w="108" w:type="dxa"/>
            </w:tcMar>
            <w:vAlign w:val="center"/>
          </w:tcPr>
          <w:p>
            <w:pPr>
              <w:widowControl/>
              <w:spacing w:line="360" w:lineRule="exact"/>
              <w:ind w:left="-63" w:leftChars="-30" w:right="-134" w:rightChars="-64"/>
              <w:jc w:val="center"/>
              <w:rPr>
                <w:rFonts w:ascii="黑体" w:hAnsi="黑体" w:eastAsia="黑体"/>
                <w:szCs w:val="21"/>
              </w:rPr>
            </w:pPr>
            <w:r>
              <w:rPr>
                <w:rFonts w:hint="eastAsia" w:ascii="黑体" w:hAnsi="黑体" w:eastAsia="黑体"/>
                <w:kern w:val="0"/>
                <w:szCs w:val="21"/>
              </w:rPr>
              <w:t>其他</w:t>
            </w:r>
          </w:p>
        </w:tc>
        <w:tc>
          <w:tcPr>
            <w:tcW w:w="851" w:type="dxa"/>
            <w:vMerge w:val="continue"/>
            <w:shd w:val="clear" w:color="auto" w:fill="auto"/>
            <w:tcMar>
              <w:left w:w="108" w:type="dxa"/>
              <w:right w:w="108" w:type="dxa"/>
            </w:tcMar>
            <w:vAlign w:val="center"/>
          </w:tcPr>
          <w:p>
            <w:pPr>
              <w:jc w:val="center"/>
              <w:rPr>
                <w:rFonts w:ascii="仿宋_GB2312" w:hAnsi="Times New Roman" w:eastAsia="仿宋_GB2312"/>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w:t>
            </w:r>
            <w:bookmarkStart w:id="0" w:name="_Hlk66973412"/>
            <w:r>
              <w:rPr>
                <w:rFonts w:hint="eastAsia" w:ascii="黑体" w:hAnsi="黑体" w:eastAsia="黑体"/>
                <w:kern w:val="0"/>
                <w:szCs w:val="21"/>
              </w:rPr>
              <w:t>本年新收政府信息公开申请数量</w:t>
            </w:r>
            <w:bookmarkEnd w:id="0"/>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5093" w:type="dxa"/>
            <w:gridSpan w:val="3"/>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二、上年结转政府信息公开申请数量</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szCs w:val="21"/>
                <w:lang w:val="en-US" w:eastAsia="zh-CN"/>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restart"/>
            <w:shd w:val="clear" w:color="auto" w:fill="auto"/>
            <w:tcMar>
              <w:left w:w="108" w:type="dxa"/>
              <w:right w:w="108" w:type="dxa"/>
            </w:tcMar>
            <w:vAlign w:val="center"/>
          </w:tcPr>
          <w:p>
            <w:pPr>
              <w:widowControl/>
              <w:spacing w:after="180"/>
              <w:rPr>
                <w:rFonts w:ascii="黑体" w:hAnsi="黑体" w:eastAsia="黑体"/>
                <w:szCs w:val="21"/>
              </w:rPr>
            </w:pPr>
            <w:r>
              <w:rPr>
                <w:rFonts w:hint="eastAsia" w:ascii="黑体" w:hAnsi="黑体" w:eastAsia="黑体"/>
                <w:kern w:val="0"/>
                <w:szCs w:val="21"/>
              </w:rPr>
              <w:t>三、本年度办理结果</w:t>
            </w: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（一）予以公开</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rPr>
                <w:rFonts w:ascii="黑体" w:hAnsi="黑体" w:eastAsia="黑体"/>
                <w:szCs w:val="21"/>
              </w:rPr>
            </w:pPr>
            <w:r>
              <w:rPr>
                <w:rFonts w:hint="eastAsia" w:ascii="黑体" w:hAnsi="黑体" w:eastAsia="黑体"/>
                <w:kern w:val="0"/>
                <w:szCs w:val="21"/>
              </w:rPr>
              <w:t>（二）部分公开（</w:t>
            </w:r>
            <w:bookmarkStart w:id="1" w:name="_Hlk66973981"/>
            <w:r>
              <w:rPr>
                <w:rFonts w:hint="eastAsia" w:ascii="黑体" w:hAnsi="黑体" w:eastAsia="黑体"/>
                <w:kern w:val="0"/>
                <w:szCs w:val="21"/>
              </w:rPr>
              <w:t>区分处理的，只计这一情形，不计其他情形</w:t>
            </w:r>
            <w:bookmarkEnd w:id="1"/>
            <w:r>
              <w:rPr>
                <w:rFonts w:hint="eastAsia" w:ascii="黑体" w:hAnsi="黑体" w:eastAsia="黑体"/>
                <w:kern w:val="0"/>
                <w:szCs w:val="21"/>
              </w:rPr>
              <w:t>）</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（三）不予公开</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1.属于国家秘密</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2" w:name="_Hlk66974104"/>
            <w:r>
              <w:rPr>
                <w:rFonts w:hint="eastAsia" w:ascii="仿宋_GB2312" w:hAnsi="黑体" w:eastAsia="仿宋_GB2312"/>
                <w:kern w:val="0"/>
                <w:szCs w:val="21"/>
              </w:rPr>
              <w:t>其他法律行政法规禁止公开</w:t>
            </w:r>
            <w:bookmarkEnd w:id="2"/>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3.危及“三安全一稳定”</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4.</w:t>
            </w:r>
            <w:bookmarkStart w:id="3" w:name="_Hlk66974290"/>
            <w:r>
              <w:rPr>
                <w:rFonts w:hint="eastAsia" w:ascii="仿宋_GB2312" w:hAnsi="黑体" w:eastAsia="仿宋_GB2312"/>
                <w:kern w:val="0"/>
                <w:szCs w:val="21"/>
              </w:rPr>
              <w:t>保护第三方合法权益</w:t>
            </w:r>
            <w:bookmarkEnd w:id="3"/>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5.属于三类内部事务信息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6.</w:t>
            </w:r>
            <w:bookmarkStart w:id="4" w:name="_Hlk66974555"/>
            <w:r>
              <w:rPr>
                <w:rFonts w:hint="eastAsia" w:ascii="仿宋_GB2312" w:hAnsi="黑体" w:eastAsia="仿宋_GB2312"/>
                <w:kern w:val="0"/>
                <w:szCs w:val="21"/>
              </w:rPr>
              <w:t>属于四类过程性信息</w:t>
            </w:r>
            <w:bookmarkEnd w:id="4"/>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7.属于行政执法案卷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8.</w:t>
            </w:r>
            <w:bookmarkStart w:id="5" w:name="_Hlk66975211"/>
            <w:r>
              <w:rPr>
                <w:rFonts w:hint="eastAsia" w:ascii="仿宋_GB2312" w:hAnsi="黑体" w:eastAsia="仿宋_GB2312"/>
                <w:kern w:val="0"/>
                <w:szCs w:val="21"/>
              </w:rPr>
              <w:t>属于行政查询事项</w:t>
            </w:r>
            <w:bookmarkEnd w:id="5"/>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（四）无法提供</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1.本机关不掌握相关政府信息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w:t>
            </w:r>
            <w:bookmarkStart w:id="6" w:name="_Hlk66975392"/>
            <w:r>
              <w:rPr>
                <w:rFonts w:hint="eastAsia" w:ascii="仿宋_GB2312" w:hAnsi="黑体" w:eastAsia="仿宋_GB2312"/>
                <w:kern w:val="0"/>
                <w:szCs w:val="21"/>
              </w:rPr>
              <w:t>没有现成信息需要另行制作</w:t>
            </w:r>
            <w:bookmarkEnd w:id="6"/>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ind w:left="-107" w:leftChars="-51"/>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3.</w:t>
            </w:r>
            <w:bookmarkStart w:id="7" w:name="_Hlk66975466"/>
            <w:r>
              <w:rPr>
                <w:rFonts w:hint="eastAsia" w:ascii="仿宋_GB2312" w:hAnsi="黑体" w:eastAsia="仿宋_GB2312"/>
                <w:kern w:val="0"/>
                <w:szCs w:val="21"/>
              </w:rPr>
              <w:t>补正后申请内容仍不明确</w:t>
            </w:r>
            <w:bookmarkEnd w:id="7"/>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200" w:lineRule="exact"/>
              <w:ind w:left="-107" w:leftChars="-51"/>
              <w:rPr>
                <w:rFonts w:ascii="黑体" w:hAnsi="黑体" w:eastAsia="黑体"/>
                <w:szCs w:val="21"/>
              </w:rPr>
            </w:pPr>
            <w:r>
              <w:rPr>
                <w:rFonts w:hint="eastAsia" w:ascii="黑体" w:hAnsi="黑体" w:eastAsia="黑体"/>
                <w:kern w:val="0"/>
                <w:szCs w:val="21"/>
              </w:rPr>
              <w:t>（五）不予处理</w:t>
            </w: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1.</w:t>
            </w:r>
            <w:bookmarkStart w:id="8" w:name="_Hlk66975537"/>
            <w:r>
              <w:rPr>
                <w:rFonts w:hint="eastAsia" w:ascii="仿宋_GB2312" w:hAnsi="黑体" w:eastAsia="仿宋_GB2312"/>
                <w:kern w:val="0"/>
                <w:szCs w:val="21"/>
              </w:rPr>
              <w:t>信访举报投诉类申请</w:t>
            </w:r>
            <w:bookmarkEnd w:id="8"/>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kern w:val="0"/>
                <w:szCs w:val="21"/>
              </w:rPr>
            </w:pPr>
            <w:r>
              <w:rPr>
                <w:rFonts w:hint="eastAsia" w:ascii="仿宋_GB2312" w:hAnsi="黑体" w:eastAsia="仿宋_GB2312"/>
                <w:kern w:val="0"/>
                <w:szCs w:val="21"/>
              </w:rPr>
              <w:t>2.重复申请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3.要求提供公开出版物</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trHeight w:val="397" w:hRule="exact"/>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200" w:lineRule="exact"/>
              <w:rPr>
                <w:rFonts w:ascii="仿宋_GB2312" w:hAnsi="黑体" w:eastAsia="仿宋_GB2312"/>
                <w:szCs w:val="21"/>
              </w:rPr>
            </w:pPr>
            <w:r>
              <w:rPr>
                <w:rFonts w:hint="eastAsia" w:ascii="仿宋_GB2312" w:hAnsi="黑体" w:eastAsia="仿宋_GB2312"/>
                <w:kern w:val="0"/>
                <w:szCs w:val="21"/>
              </w:rPr>
              <w:t>4.无正当理由大量反复申请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spacing w:line="200" w:lineRule="exact"/>
              <w:rPr>
                <w:rFonts w:ascii="黑体" w:hAnsi="黑体" w:eastAsia="黑体"/>
                <w:szCs w:val="21"/>
              </w:rPr>
            </w:pPr>
          </w:p>
        </w:tc>
        <w:tc>
          <w:tcPr>
            <w:tcW w:w="2976" w:type="dxa"/>
            <w:shd w:val="clear" w:color="auto" w:fill="auto"/>
            <w:tcMar>
              <w:left w:w="108" w:type="dxa"/>
              <w:right w:w="108" w:type="dxa"/>
            </w:tcMar>
            <w:vAlign w:val="center"/>
          </w:tcPr>
          <w:p>
            <w:pPr>
              <w:widowControl/>
              <w:spacing w:line="300" w:lineRule="exact"/>
              <w:rPr>
                <w:rFonts w:ascii="仿宋_GB2312" w:hAnsi="黑体" w:eastAsia="仿宋_GB2312"/>
                <w:kern w:val="0"/>
                <w:szCs w:val="21"/>
              </w:rPr>
            </w:pPr>
            <w:r>
              <w:rPr>
                <w:rFonts w:hint="eastAsia" w:ascii="仿宋_GB2312" w:hAnsi="黑体" w:eastAsia="仿宋_GB2312"/>
                <w:kern w:val="0"/>
                <w:szCs w:val="21"/>
              </w:rPr>
              <w:t>5.要求行政机关确认或重新</w:t>
            </w:r>
          </w:p>
          <w:p>
            <w:pPr>
              <w:widowControl/>
              <w:spacing w:line="300" w:lineRule="exact"/>
              <w:ind w:firstLine="210" w:firstLineChars="100"/>
              <w:rPr>
                <w:rFonts w:ascii="仿宋_GB2312" w:hAnsi="黑体" w:eastAsia="仿宋_GB2312"/>
                <w:szCs w:val="21"/>
              </w:rPr>
            </w:pPr>
            <w:r>
              <w:rPr>
                <w:rFonts w:hint="eastAsia" w:ascii="仿宋_GB2312" w:hAnsi="黑体" w:eastAsia="仿宋_GB2312"/>
                <w:kern w:val="0"/>
                <w:szCs w:val="21"/>
              </w:rPr>
              <w:t>出具已获取信息</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restart"/>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（六）其他处理</w:t>
            </w:r>
          </w:p>
        </w:tc>
        <w:tc>
          <w:tcPr>
            <w:tcW w:w="2976" w:type="dxa"/>
            <w:shd w:val="clear" w:color="auto" w:fill="auto"/>
            <w:vAlign w:val="center"/>
          </w:tcPr>
          <w:p>
            <w:pPr>
              <w:widowControl/>
              <w:spacing w:line="300" w:lineRule="exact"/>
              <w:rPr>
                <w:rFonts w:ascii="仿宋_GB2312" w:hAnsi="楷体" w:eastAsia="仿宋_GB2312"/>
              </w:rPr>
            </w:pPr>
            <w:r>
              <w:rPr>
                <w:rFonts w:hint="eastAsia" w:ascii="仿宋_GB2312" w:hAnsi="楷体" w:eastAsia="仿宋_GB2312"/>
              </w:rPr>
              <w:t>1.申请人无正当理由逾期不补正、行政机关不再处理其政府信息公开申请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2.申请人逾期未按收费通知要求缴纳费用、行政机关不再处理其政府信息公开申请</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1701" w:type="dxa"/>
            <w:vMerge w:val="continue"/>
            <w:shd w:val="clear" w:color="auto" w:fill="auto"/>
            <w:tcMar>
              <w:left w:w="108" w:type="dxa"/>
              <w:right w:w="108" w:type="dxa"/>
            </w:tcMar>
            <w:vAlign w:val="center"/>
          </w:tcPr>
          <w:p>
            <w:pPr>
              <w:widowControl/>
              <w:spacing w:line="300" w:lineRule="exact"/>
              <w:rPr>
                <w:rFonts w:ascii="黑体" w:hAnsi="黑体" w:eastAsia="黑体"/>
                <w:kern w:val="0"/>
                <w:szCs w:val="21"/>
              </w:rPr>
            </w:pPr>
          </w:p>
        </w:tc>
        <w:tc>
          <w:tcPr>
            <w:tcW w:w="2976" w:type="dxa"/>
            <w:shd w:val="clear" w:color="auto" w:fill="auto"/>
            <w:vAlign w:val="center"/>
          </w:tcPr>
          <w:p>
            <w:pPr>
              <w:widowControl/>
              <w:spacing w:line="300" w:lineRule="exact"/>
              <w:rPr>
                <w:rFonts w:ascii="仿宋_GB2312" w:hAnsi="黑体" w:eastAsia="仿宋_GB2312"/>
                <w:kern w:val="0"/>
                <w:szCs w:val="21"/>
              </w:rPr>
            </w:pPr>
            <w:r>
              <w:rPr>
                <w:rFonts w:hint="eastAsia" w:ascii="仿宋_GB2312" w:hAnsi="楷体" w:eastAsia="仿宋_GB2312"/>
              </w:rPr>
              <w:t>3.其他</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416" w:type="dxa"/>
            <w:vMerge w:val="continue"/>
            <w:shd w:val="clear" w:color="auto" w:fill="auto"/>
            <w:tcMar>
              <w:left w:w="108" w:type="dxa"/>
              <w:right w:w="108" w:type="dxa"/>
            </w:tcMar>
            <w:vAlign w:val="center"/>
          </w:tcPr>
          <w:p>
            <w:pPr>
              <w:rPr>
                <w:rFonts w:ascii="黑体" w:hAnsi="黑体" w:eastAsia="黑体"/>
                <w:szCs w:val="21"/>
              </w:rPr>
            </w:pPr>
          </w:p>
        </w:tc>
        <w:tc>
          <w:tcPr>
            <w:tcW w:w="4677" w:type="dxa"/>
            <w:gridSpan w:val="2"/>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（七）总计</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0" w:type="dxa"/>
            <w:bottom w:w="0" w:type="dxa"/>
            <w:right w:w="0" w:type="dxa"/>
          </w:tblCellMar>
        </w:tblPrEx>
        <w:trPr>
          <w:jc w:val="center"/>
        </w:trPr>
        <w:tc>
          <w:tcPr>
            <w:tcW w:w="5093" w:type="dxa"/>
            <w:gridSpan w:val="3"/>
            <w:shd w:val="clear" w:color="auto" w:fill="auto"/>
            <w:tcMar>
              <w:left w:w="108" w:type="dxa"/>
              <w:right w:w="108" w:type="dxa"/>
            </w:tcMar>
            <w:vAlign w:val="center"/>
          </w:tcPr>
          <w:p>
            <w:pPr>
              <w:widowControl/>
              <w:spacing w:line="300" w:lineRule="exact"/>
              <w:rPr>
                <w:rFonts w:ascii="黑体" w:hAnsi="黑体" w:eastAsia="黑体"/>
                <w:kern w:val="0"/>
                <w:szCs w:val="21"/>
              </w:rPr>
            </w:pPr>
            <w:r>
              <w:rPr>
                <w:rFonts w:hint="eastAsia" w:ascii="黑体" w:hAnsi="黑体" w:eastAsia="黑体"/>
                <w:kern w:val="0"/>
                <w:szCs w:val="21"/>
              </w:rPr>
              <w:t>四、结转下年度继续办理</w:t>
            </w:r>
          </w:p>
        </w:tc>
        <w:tc>
          <w:tcPr>
            <w:tcW w:w="829"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3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708"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567"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c>
          <w:tcPr>
            <w:tcW w:w="851" w:type="dxa"/>
            <w:shd w:val="clear" w:color="auto" w:fill="auto"/>
            <w:tcMar>
              <w:left w:w="108" w:type="dxa"/>
              <w:right w:w="108" w:type="dxa"/>
            </w:tcMar>
            <w:vAlign w:val="center"/>
          </w:tcPr>
          <w:p>
            <w:pPr>
              <w:widowControl/>
              <w:spacing w:after="180"/>
              <w:jc w:val="center"/>
              <w:rPr>
                <w:rFonts w:hint="eastAsia" w:ascii="仿宋_GB2312" w:hAnsi="Times New Roman" w:eastAsia="仿宋_GB2312" w:cstheme="minorBidi"/>
                <w:kern w:val="2"/>
                <w:sz w:val="21"/>
                <w:szCs w:val="21"/>
                <w:lang w:val="en-US" w:eastAsia="zh-CN" w:bidi="ar-SA"/>
              </w:rPr>
            </w:pPr>
            <w:r>
              <w:rPr>
                <w:rFonts w:hint="eastAsia" w:ascii="仿宋_GB2312" w:hAnsi="Times New Roman" w:eastAsia="仿宋_GB2312"/>
                <w:szCs w:val="21"/>
                <w:lang w:val="en-US" w:eastAsia="zh-CN"/>
              </w:rPr>
              <w:t>0</w:t>
            </w:r>
          </w:p>
        </w:tc>
      </w:tr>
    </w:tbl>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ascii="黑体" w:hAnsi="黑体" w:eastAsia="黑体"/>
          <w:color w:val="auto"/>
          <w:sz w:val="32"/>
          <w:szCs w:val="32"/>
        </w:rPr>
        <w:t>四、政府信息公开行政复议、行政诉讼情况</w:t>
      </w:r>
    </w:p>
    <w:p>
      <w:pPr>
        <w:pStyle w:val="5"/>
        <w:spacing w:before="0" w:beforeAutospacing="0" w:after="0" w:afterAutospacing="0" w:line="600" w:lineRule="exact"/>
        <w:ind w:firstLine="480" w:firstLineChars="200"/>
        <w:jc w:val="both"/>
        <w:rPr>
          <w:rFonts w:ascii="Times New Roman" w:hAnsi="Times New Roman"/>
          <w:color w:val="auto"/>
        </w:rPr>
      </w:pPr>
    </w:p>
    <w:tbl>
      <w:tblPr>
        <w:tblStyle w:val="6"/>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7" w:hRule="atLeast"/>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ind w:left="-149" w:leftChars="-71" w:right="-170" w:rightChars="-81"/>
              <w:jc w:val="center"/>
              <w:rPr>
                <w:rFonts w:ascii="黑体" w:hAnsi="黑体" w:eastAsia="黑体"/>
                <w:kern w:val="0"/>
                <w:sz w:val="20"/>
                <w:szCs w:val="20"/>
              </w:rPr>
            </w:pPr>
            <w:r>
              <w:rPr>
                <w:rFonts w:ascii="黑体" w:hAnsi="黑体" w:eastAsia="黑体"/>
                <w:kern w:val="0"/>
                <w:sz w:val="20"/>
                <w:szCs w:val="20"/>
              </w:rPr>
              <w:t>结果</w:t>
            </w:r>
          </w:p>
          <w:p>
            <w:pPr>
              <w:widowControl/>
              <w:ind w:left="-149" w:leftChars="-71" w:right="-170" w:rightChars="-81"/>
              <w:jc w:val="center"/>
              <w:rPr>
                <w:rFonts w:ascii="黑体" w:hAnsi="黑体" w:eastAsia="黑体"/>
              </w:rPr>
            </w:pPr>
            <w:r>
              <w:rPr>
                <w:rFonts w:ascii="黑体" w:hAnsi="黑体" w:eastAsia="黑体"/>
                <w:kern w:val="0"/>
                <w:sz w:val="20"/>
                <w:szCs w:val="20"/>
              </w:rPr>
              <w:t>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43" w:leftChars="-21" w:right="-132" w:rightChars="-63" w:hanging="1"/>
              <w:jc w:val="center"/>
              <w:rPr>
                <w:rFonts w:ascii="黑体" w:hAnsi="黑体" w:eastAsia="黑体"/>
              </w:rPr>
            </w:pPr>
            <w:r>
              <w:rPr>
                <w:rFonts w:ascii="黑体" w:hAnsi="黑体" w:eastAsia="黑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82" w:leftChars="-39" w:right="-97" w:rightChars="-46"/>
              <w:jc w:val="center"/>
              <w:rPr>
                <w:rFonts w:ascii="黑体" w:hAnsi="黑体" w:eastAsia="黑体"/>
              </w:rPr>
            </w:pPr>
            <w:r>
              <w:rPr>
                <w:rFonts w:ascii="黑体" w:hAnsi="黑体" w:eastAsia="黑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18" w:leftChars="-56" w:right="-118" w:rightChars="-56"/>
              <w:jc w:val="center"/>
              <w:rPr>
                <w:rFonts w:ascii="黑体" w:hAnsi="黑体" w:eastAsia="黑体"/>
                <w:kern w:val="0"/>
                <w:sz w:val="20"/>
                <w:szCs w:val="20"/>
              </w:rPr>
            </w:pPr>
            <w:r>
              <w:rPr>
                <w:rFonts w:ascii="黑体" w:hAnsi="黑体" w:eastAsia="黑体"/>
                <w:kern w:val="0"/>
                <w:sz w:val="20"/>
                <w:szCs w:val="20"/>
              </w:rPr>
              <w:t>尚未</w:t>
            </w:r>
          </w:p>
          <w:p>
            <w:pPr>
              <w:widowControl/>
              <w:ind w:left="-118" w:leftChars="-56" w:right="-118" w:rightChars="-56"/>
              <w:jc w:val="center"/>
              <w:rPr>
                <w:rFonts w:ascii="黑体" w:hAnsi="黑体" w:eastAsia="黑体"/>
              </w:rPr>
            </w:pPr>
            <w:r>
              <w:rPr>
                <w:rFonts w:ascii="黑体" w:hAnsi="黑体" w:eastAsia="黑体"/>
                <w:kern w:val="0"/>
                <w:sz w:val="20"/>
                <w:szCs w:val="20"/>
              </w:rPr>
              <w:t>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spacing w:line="320" w:lineRule="exact"/>
              <w:jc w:val="center"/>
              <w:rPr>
                <w:rFonts w:ascii="黑体" w:hAnsi="黑体" w:eastAsia="黑体"/>
                <w:kern w:val="0"/>
                <w:sz w:val="20"/>
                <w:szCs w:val="20"/>
              </w:rPr>
            </w:pPr>
            <w:r>
              <w:rPr>
                <w:rFonts w:ascii="黑体" w:hAnsi="黑体" w:eastAsia="黑体"/>
                <w:kern w:val="0"/>
                <w:sz w:val="20"/>
                <w:szCs w:val="20"/>
              </w:rPr>
              <w:t>总</w:t>
            </w:r>
          </w:p>
          <w:p>
            <w:pPr>
              <w:widowControl/>
              <w:spacing w:line="320" w:lineRule="exact"/>
              <w:jc w:val="center"/>
              <w:rPr>
                <w:rFonts w:ascii="黑体" w:hAnsi="黑体" w:eastAsia="黑体"/>
              </w:rPr>
            </w:pPr>
            <w:r>
              <w:rPr>
                <w:rFonts w:ascii="黑体" w:hAnsi="黑体" w:eastAsia="黑体"/>
                <w:kern w:val="0"/>
                <w:sz w:val="20"/>
                <w:szCs w:val="20"/>
              </w:rPr>
              <w:t>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bookmarkStart w:id="9" w:name="_Hlk67039688"/>
            <w:r>
              <w:rPr>
                <w:rFonts w:ascii="黑体" w:hAnsi="黑体" w:eastAsia="黑体"/>
                <w:kern w:val="0"/>
                <w:sz w:val="20"/>
                <w:szCs w:val="20"/>
              </w:rPr>
              <w:t>复议后起诉</w:t>
            </w:r>
            <w:bookmarkEnd w:id="9"/>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06" w:hRule="atLeast"/>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ascii="黑体" w:hAnsi="黑体" w:eastAsia="黑体"/>
                <w:sz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105" w:leftChars="-50" w:right="-126" w:rightChars="-60"/>
              <w:jc w:val="center"/>
              <w:rPr>
                <w:rFonts w:ascii="黑体" w:hAnsi="黑体" w:eastAsia="黑体"/>
              </w:rPr>
            </w:pPr>
            <w:r>
              <w:rPr>
                <w:rFonts w:ascii="黑体" w:hAnsi="黑体" w:eastAsia="黑体"/>
                <w:kern w:val="0"/>
                <w:sz w:val="20"/>
                <w:szCs w:val="20"/>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ind w:left="-86" w:leftChars="-41" w:right="-88" w:rightChars="-42"/>
              <w:jc w:val="center"/>
              <w:rPr>
                <w:rFonts w:ascii="黑体" w:hAnsi="黑体" w:eastAsia="黑体"/>
              </w:rPr>
            </w:pPr>
            <w:r>
              <w:rPr>
                <w:rFonts w:ascii="黑体" w:hAnsi="黑体" w:eastAsia="黑体"/>
                <w:kern w:val="0"/>
                <w:sz w:val="20"/>
                <w:szCs w:val="20"/>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26" w:leftChars="-60" w:right="-136" w:rightChars="-65"/>
              <w:jc w:val="center"/>
              <w:rPr>
                <w:rFonts w:ascii="黑体" w:hAnsi="黑体" w:eastAsia="黑体"/>
                <w:kern w:val="0"/>
                <w:sz w:val="20"/>
                <w:szCs w:val="20"/>
              </w:rPr>
            </w:pPr>
            <w:r>
              <w:rPr>
                <w:rFonts w:ascii="黑体" w:hAnsi="黑体" w:eastAsia="黑体"/>
                <w:kern w:val="0"/>
                <w:sz w:val="20"/>
                <w:szCs w:val="20"/>
              </w:rPr>
              <w:t>其他</w:t>
            </w:r>
          </w:p>
          <w:p>
            <w:pPr>
              <w:widowControl/>
              <w:ind w:left="-126" w:leftChars="-60" w:right="-136" w:rightChars="-65"/>
              <w:jc w:val="center"/>
              <w:rPr>
                <w:rFonts w:ascii="黑体" w:hAnsi="黑体" w:eastAsia="黑体"/>
              </w:rPr>
            </w:pPr>
            <w:r>
              <w:rPr>
                <w:rFonts w:ascii="黑体" w:hAnsi="黑体" w:eastAsia="黑体"/>
                <w:kern w:val="0"/>
                <w:sz w:val="20"/>
                <w:szCs w:val="20"/>
              </w:rPr>
              <w:t>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64" w:leftChars="-78" w:right="-153" w:rightChars="-73"/>
              <w:jc w:val="center"/>
              <w:rPr>
                <w:rFonts w:ascii="黑体" w:hAnsi="黑体" w:eastAsia="黑体"/>
                <w:kern w:val="0"/>
                <w:sz w:val="20"/>
                <w:szCs w:val="20"/>
              </w:rPr>
            </w:pPr>
            <w:r>
              <w:rPr>
                <w:rFonts w:ascii="黑体" w:hAnsi="黑体" w:eastAsia="黑体"/>
                <w:kern w:val="0"/>
                <w:sz w:val="20"/>
                <w:szCs w:val="20"/>
              </w:rPr>
              <w:t>尚未</w:t>
            </w:r>
          </w:p>
          <w:p>
            <w:pPr>
              <w:widowControl/>
              <w:ind w:left="-164" w:leftChars="-78" w:right="-153" w:rightChars="-73"/>
              <w:jc w:val="center"/>
              <w:rPr>
                <w:rFonts w:ascii="黑体" w:hAnsi="黑体" w:eastAsia="黑体"/>
              </w:rPr>
            </w:pPr>
            <w:r>
              <w:rPr>
                <w:rFonts w:ascii="黑体" w:hAnsi="黑体" w:eastAsia="黑体"/>
                <w:kern w:val="0"/>
                <w:sz w:val="20"/>
                <w:szCs w:val="20"/>
              </w:rPr>
              <w:t>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99" w:leftChars="-47" w:right="-78" w:rightChars="-37"/>
              <w:jc w:val="center"/>
              <w:rPr>
                <w:rFonts w:ascii="黑体" w:hAnsi="黑体" w:eastAsia="黑体"/>
              </w:rPr>
            </w:pPr>
            <w:r>
              <w:rPr>
                <w:rFonts w:ascii="黑体" w:hAnsi="黑体" w:eastAsia="黑体"/>
                <w:kern w:val="0"/>
                <w:sz w:val="20"/>
                <w:szCs w:val="20"/>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36" w:leftChars="-65" w:right="-124" w:rightChars="-59"/>
              <w:jc w:val="center"/>
              <w:rPr>
                <w:rFonts w:ascii="黑体" w:hAnsi="黑体" w:eastAsia="黑体"/>
                <w:kern w:val="0"/>
                <w:sz w:val="20"/>
                <w:szCs w:val="20"/>
              </w:rPr>
            </w:pPr>
            <w:r>
              <w:rPr>
                <w:rFonts w:ascii="黑体" w:hAnsi="黑体" w:eastAsia="黑体"/>
                <w:kern w:val="0"/>
                <w:sz w:val="20"/>
                <w:szCs w:val="20"/>
              </w:rPr>
              <w:t>结果</w:t>
            </w:r>
          </w:p>
          <w:p>
            <w:pPr>
              <w:widowControl/>
              <w:ind w:left="-136" w:leftChars="-65" w:right="-124" w:rightChars="-59"/>
              <w:jc w:val="center"/>
              <w:rPr>
                <w:rFonts w:ascii="黑体" w:hAnsi="黑体" w:eastAsia="黑体"/>
              </w:rPr>
            </w:pPr>
            <w:r>
              <w:rPr>
                <w:rFonts w:ascii="黑体" w:hAnsi="黑体" w:eastAsia="黑体"/>
                <w:kern w:val="0"/>
                <w:sz w:val="20"/>
                <w:szCs w:val="20"/>
              </w:rPr>
              <w:t>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173" w:leftChars="-83" w:right="-134" w:rightChars="-64" w:hanging="1"/>
              <w:jc w:val="center"/>
              <w:rPr>
                <w:rFonts w:ascii="黑体" w:hAnsi="黑体" w:eastAsia="黑体"/>
                <w:kern w:val="0"/>
                <w:sz w:val="20"/>
                <w:szCs w:val="20"/>
              </w:rPr>
            </w:pPr>
            <w:r>
              <w:rPr>
                <w:rFonts w:ascii="黑体" w:hAnsi="黑体" w:eastAsia="黑体"/>
                <w:kern w:val="0"/>
                <w:sz w:val="20"/>
                <w:szCs w:val="20"/>
              </w:rPr>
              <w:t>其他</w:t>
            </w:r>
          </w:p>
          <w:p>
            <w:pPr>
              <w:widowControl/>
              <w:ind w:left="-173" w:leftChars="-83" w:right="-134" w:rightChars="-64" w:hanging="1"/>
              <w:jc w:val="center"/>
              <w:rPr>
                <w:rFonts w:ascii="黑体" w:hAnsi="黑体" w:eastAsia="黑体"/>
              </w:rPr>
            </w:pPr>
            <w:r>
              <w:rPr>
                <w:rFonts w:ascii="黑体" w:hAnsi="黑体" w:eastAsia="黑体"/>
                <w:kern w:val="0"/>
                <w:sz w:val="20"/>
                <w:szCs w:val="20"/>
              </w:rPr>
              <w:t>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ind w:left="-67" w:leftChars="-33" w:right="-105" w:rightChars="-50" w:hanging="2" w:hangingChars="1"/>
              <w:jc w:val="center"/>
              <w:rPr>
                <w:rFonts w:ascii="黑体" w:hAnsi="黑体" w:eastAsia="黑体"/>
              </w:rPr>
            </w:pPr>
            <w:r>
              <w:rPr>
                <w:rFonts w:ascii="黑体" w:hAnsi="黑体" w:eastAsia="黑体"/>
                <w:kern w:val="0"/>
                <w:sz w:val="20"/>
                <w:szCs w:val="20"/>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widowControl/>
              <w:jc w:val="center"/>
              <w:rPr>
                <w:rFonts w:ascii="黑体" w:hAnsi="黑体" w:eastAsia="黑体"/>
              </w:rPr>
            </w:pPr>
            <w:r>
              <w:rPr>
                <w:rFonts w:ascii="黑体" w:hAnsi="黑体" w:eastAsia="黑体"/>
                <w:kern w:val="0"/>
                <w:sz w:val="20"/>
                <w:szCs w:val="20"/>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widowControl/>
              <w:spacing w:after="180"/>
              <w:jc w:val="center"/>
              <w:rPr>
                <w:rFonts w:hint="eastAsia" w:ascii="Times New Roman" w:hAnsi="Times New Roman" w:eastAsiaTheme="minorEastAsia"/>
                <w:lang w:val="en-US" w:eastAsia="zh-CN"/>
              </w:rPr>
            </w:pPr>
            <w:r>
              <w:rPr>
                <w:rFonts w:hint="eastAsia" w:ascii="Times New Roman" w:hAnsi="Times New Roman"/>
                <w:lang w:val="en-US" w:eastAsia="zh-CN"/>
              </w:rPr>
              <w:t>0</w:t>
            </w:r>
          </w:p>
        </w:tc>
      </w:tr>
    </w:tbl>
    <w:p>
      <w:pPr>
        <w:pStyle w:val="5"/>
        <w:spacing w:before="0" w:beforeAutospacing="0" w:after="0" w:afterAutospacing="0" w:line="600" w:lineRule="exact"/>
        <w:ind w:firstLine="640" w:firstLineChars="200"/>
        <w:jc w:val="both"/>
        <w:rPr>
          <w:rFonts w:ascii="黑体" w:hAnsi="黑体" w:eastAsia="黑体"/>
          <w:color w:val="auto"/>
          <w:sz w:val="32"/>
          <w:szCs w:val="32"/>
        </w:rPr>
      </w:pPr>
      <w:r>
        <w:rPr>
          <w:rFonts w:hint="eastAsia" w:ascii="黑体" w:hAnsi="黑体" w:eastAsia="黑体"/>
          <w:color w:val="auto"/>
          <w:sz w:val="32"/>
          <w:szCs w:val="32"/>
          <w:lang w:val="en-US" w:eastAsia="zh-CN"/>
        </w:rPr>
        <w:t>五、</w:t>
      </w:r>
      <w:r>
        <w:rPr>
          <w:rFonts w:ascii="黑体" w:hAnsi="黑体" w:eastAsia="黑体"/>
          <w:color w:val="auto"/>
          <w:sz w:val="32"/>
          <w:szCs w:val="32"/>
        </w:rPr>
        <w:t>存在的主要问题及改进情况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rPr>
        <w:t>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泰山区退役军人事务局</w:t>
      </w:r>
      <w:r>
        <w:rPr>
          <w:rFonts w:hint="eastAsia" w:ascii="仿宋" w:hAnsi="仿宋" w:eastAsia="仿宋" w:cs="仿宋"/>
          <w:sz w:val="32"/>
          <w:szCs w:val="32"/>
          <w:highlight w:val="none"/>
        </w:rPr>
        <w:t>政府信息公开工作</w:t>
      </w:r>
      <w:r>
        <w:rPr>
          <w:rFonts w:hint="eastAsia" w:ascii="仿宋" w:hAnsi="仿宋" w:eastAsia="仿宋" w:cs="仿宋"/>
          <w:sz w:val="32"/>
          <w:szCs w:val="32"/>
          <w:highlight w:val="none"/>
          <w:lang w:val="en-US" w:eastAsia="zh-CN"/>
        </w:rPr>
        <w:t>虽然有了进一步提高</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但对标上级工作要求、群众的期盼来说，仍存在信息公开的内容不够丰富、政策解读方面缺乏创新等问题。</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color w:val="auto"/>
          <w:sz w:val="32"/>
          <w:szCs w:val="32"/>
          <w:highlight w:val="none"/>
          <w:lang w:val="en"/>
        </w:rPr>
      </w:pPr>
      <w:r>
        <w:rPr>
          <w:rFonts w:hint="eastAsia" w:ascii="仿宋" w:hAnsi="仿宋" w:eastAsia="仿宋" w:cs="仿宋"/>
          <w:sz w:val="32"/>
          <w:szCs w:val="32"/>
          <w:highlight w:val="none"/>
          <w:lang w:val="en-US" w:eastAsia="zh-CN"/>
        </w:rPr>
        <w:t>下一步，泰山区退役军人事务局将紧扣新时代政务公开工作要求，多措并举促进信息公开工作规范有序进行。一是强化责任意识，加强业务培训。将政务公开工作纳入年度重点工作中，定期组织开展政务信息公开业务培训，不断提升工作人员政务公开意识与业务素养。二是聚焦民之所盼，进一步充实公开内容。进一步提升公众关注度高的信息公开数量、质量，充分征求公众意见，推动科学、民主决策。三是创新内容形式，构建信息公开矩阵。线上通过图文、视频结合的形式在掌上泰山区、微信政务号等平台进行政策解读，线下通过发放明白纸、开展政策推送活动等形式对退役军人及优抚对象关心关注的政策法规进行宣传解读，让群众“听得懂”、“信得过”。</w:t>
      </w:r>
    </w:p>
    <w:p>
      <w:pPr>
        <w:pStyle w:val="5"/>
        <w:spacing w:before="0" w:beforeAutospacing="0" w:after="0" w:afterAutospacing="0" w:line="600" w:lineRule="exact"/>
        <w:ind w:firstLine="640" w:firstLineChars="200"/>
        <w:jc w:val="both"/>
        <w:rPr>
          <w:rFonts w:ascii="黑体" w:hAnsi="黑体" w:eastAsia="黑体"/>
          <w:color w:val="auto"/>
          <w:sz w:val="32"/>
          <w:szCs w:val="32"/>
          <w:highlight w:val="none"/>
        </w:rPr>
      </w:pPr>
      <w:r>
        <w:rPr>
          <w:rFonts w:hint="eastAsia" w:ascii="黑体" w:hAnsi="黑体" w:eastAsia="黑体"/>
          <w:color w:val="auto"/>
          <w:sz w:val="32"/>
          <w:szCs w:val="32"/>
          <w:highlight w:val="none"/>
          <w:lang w:val="en-US" w:eastAsia="zh-CN"/>
        </w:rPr>
        <w:t>六、</w:t>
      </w:r>
      <w:r>
        <w:rPr>
          <w:rFonts w:ascii="黑体" w:hAnsi="黑体" w:eastAsia="黑体"/>
          <w:color w:val="auto"/>
          <w:sz w:val="32"/>
          <w:szCs w:val="32"/>
          <w:highlight w:val="none"/>
        </w:rPr>
        <w:t>其他需要报告的事项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1.依据《政府信息公开信息处理费管理办法》收取信息处理费的情况：2024年泰山区退役军人事务局无收取信息处理费的事项。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2.本行政机关落实上级年度政务公开工作要点情况：2024年泰山区退役军人事务局严格对照上级年度政务公开工作要点内容与工作要求，细化工作措施，强化监督管理，多渠道、多形式，向社会和广大群众深入宣传政府信息公开工作，确保政务公开工作有效开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3.本行政机关人大代表建议和政协提案办理结果公开情况：泰山区退役军人事务局本年度没有人大代表建议、政协提案办理情况。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4.本行政机关年度政务公开工作创新情况：一是与业务工作同开展同发力。在春季、秋季退役士兵报道接收等时间节点，与业务工作同步开展“一站式”政策讲解活动，为广大退役士兵讲解安置、就业创业、退役大学生复学等政策，线上进行同步宣传。二是聚焦稳岗就业，多渠道宣传推广。针对退役军人专项公益岗、招聘会等活动信息通过在微信公众号、政府网站等平台及时转发、发布，在服务大厅窗口发放宣传折页、岗位推介信息页等积极进行宣传推广，阔宽了宣传范围，提升了宣传力度。</w:t>
      </w:r>
    </w:p>
    <w:p>
      <w:pPr>
        <w:rPr>
          <w:rFonts w:hint="default" w:ascii="仿宋_GB2312" w:eastAsia="仿宋_GB2312"/>
          <w:color w:val="auto"/>
          <w:sz w:val="32"/>
          <w:szCs w:val="32"/>
          <w:highlight w:val="none"/>
          <w:lang w:val="en-US" w:eastAsia="zh-CN"/>
        </w:rPr>
      </w:pPr>
    </w:p>
    <w:sectPr>
      <w:footerReference r:id="rId3" w:type="default"/>
      <w:pgSz w:w="11906" w:h="16838"/>
      <w:pgMar w:top="1701" w:right="1588" w:bottom="1701"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华文仿宋">
    <w:panose1 w:val="02010600040101010101"/>
    <w:charset w:val="86"/>
    <w:family w:val="auto"/>
    <w:pitch w:val="default"/>
    <w:sig w:usb0="00000287" w:usb1="080F0000" w:usb2="00000000" w:usb3="00000000" w:csb0="0004009F" w:csb1="DFD70000"/>
  </w:font>
  <w:font w:name="Cambria">
    <w:altName w:val="FreeSerif"/>
    <w:panose1 w:val="02040503050406030204"/>
    <w:charset w:val="00"/>
    <w:family w:val="auto"/>
    <w:pitch w:val="default"/>
    <w:sig w:usb0="00000000" w:usb1="00000000"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decorative"/>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仿宋_GBK">
    <w:panose1 w:val="02000000000000000000"/>
    <w:charset w:val="86"/>
    <w:family w:val="auto"/>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ascii="Times New Roman" w:hAnsi="Times New Roman" w:cs="Times New Roman"/>
        <w:sz w:val="24"/>
        <w:szCs w:val="24"/>
      </w:rPr>
      <w:t xml:space="preserve">— </w:t>
    </w:r>
    <w:sdt>
      <w:sdtPr>
        <w:rPr>
          <w:rFonts w:ascii="Times New Roman" w:hAnsi="Times New Roman" w:cs="Times New Roman"/>
          <w:sz w:val="24"/>
          <w:szCs w:val="24"/>
        </w:rPr>
        <w:id w:val="3190876"/>
      </w:sdtPr>
      <w:sdtEndPr>
        <w:rPr>
          <w:rFonts w:asciiTheme="minorHAnsi" w:hAnsiTheme="minorHAnsi" w:cstheme="minorBidi"/>
          <w:sz w:val="18"/>
          <w:szCs w:val="18"/>
        </w:r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lang w:val="zh-CN"/>
          </w:rPr>
          <w:t>1</w:t>
        </w:r>
        <w:r>
          <w:rPr>
            <w:rFonts w:ascii="Times New Roman" w:hAnsi="Times New Roman" w:cs="Times New Roman"/>
            <w:sz w:val="24"/>
            <w:szCs w:val="24"/>
          </w:rPr>
          <w:fldChar w:fldCharType="end"/>
        </w:r>
        <w:r>
          <w:rPr>
            <w:rFonts w:ascii="Times New Roman" w:hAnsi="Times New Roman" w:cs="Times New Roman"/>
            <w:sz w:val="24"/>
            <w:szCs w:val="24"/>
          </w:rPr>
          <w:t xml:space="preserve"> —</w:t>
        </w:r>
      </w:sdtContent>
    </w:sdt>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DM3MGUzMzUwMWYwNTc0MzI3NWQwYWNhNTg2ZTZiYjQifQ=="/>
  </w:docVars>
  <w:rsids>
    <w:rsidRoot w:val="009036FB"/>
    <w:rsid w:val="003F5380"/>
    <w:rsid w:val="005F04B3"/>
    <w:rsid w:val="007043DD"/>
    <w:rsid w:val="00725311"/>
    <w:rsid w:val="007C0E41"/>
    <w:rsid w:val="008260F2"/>
    <w:rsid w:val="008510D4"/>
    <w:rsid w:val="008E79FC"/>
    <w:rsid w:val="009036FB"/>
    <w:rsid w:val="00A6635A"/>
    <w:rsid w:val="00A935C0"/>
    <w:rsid w:val="00CA5DA4"/>
    <w:rsid w:val="00D500ED"/>
    <w:rsid w:val="00F705B3"/>
    <w:rsid w:val="01161381"/>
    <w:rsid w:val="01911C45"/>
    <w:rsid w:val="01E813D9"/>
    <w:rsid w:val="023C235A"/>
    <w:rsid w:val="02497934"/>
    <w:rsid w:val="0259436B"/>
    <w:rsid w:val="025E5BDC"/>
    <w:rsid w:val="02877678"/>
    <w:rsid w:val="031713E0"/>
    <w:rsid w:val="033F6241"/>
    <w:rsid w:val="039B5B6E"/>
    <w:rsid w:val="04321988"/>
    <w:rsid w:val="04624A99"/>
    <w:rsid w:val="04661011"/>
    <w:rsid w:val="04A50EF5"/>
    <w:rsid w:val="04BD1BA7"/>
    <w:rsid w:val="04ED67CF"/>
    <w:rsid w:val="05C173E2"/>
    <w:rsid w:val="05C80770"/>
    <w:rsid w:val="05F96B7B"/>
    <w:rsid w:val="06E61AFA"/>
    <w:rsid w:val="06E8128F"/>
    <w:rsid w:val="071C0D73"/>
    <w:rsid w:val="07487DBA"/>
    <w:rsid w:val="07660241"/>
    <w:rsid w:val="07C84A57"/>
    <w:rsid w:val="07C870D0"/>
    <w:rsid w:val="08687FE8"/>
    <w:rsid w:val="088140D6"/>
    <w:rsid w:val="088176B4"/>
    <w:rsid w:val="08D5456F"/>
    <w:rsid w:val="08D84396"/>
    <w:rsid w:val="08F33D56"/>
    <w:rsid w:val="09167A44"/>
    <w:rsid w:val="09526CCE"/>
    <w:rsid w:val="09E14DD8"/>
    <w:rsid w:val="0A36214C"/>
    <w:rsid w:val="0ACF4D7E"/>
    <w:rsid w:val="0B2D1B27"/>
    <w:rsid w:val="0BE44893"/>
    <w:rsid w:val="0C197EFD"/>
    <w:rsid w:val="0C327E7A"/>
    <w:rsid w:val="0C5B3319"/>
    <w:rsid w:val="0C886EAB"/>
    <w:rsid w:val="0D4903E8"/>
    <w:rsid w:val="0D8032E3"/>
    <w:rsid w:val="0DD00B0A"/>
    <w:rsid w:val="0DE97E53"/>
    <w:rsid w:val="0DFC074D"/>
    <w:rsid w:val="0ED42832"/>
    <w:rsid w:val="0F056591"/>
    <w:rsid w:val="0F5E7B11"/>
    <w:rsid w:val="0F60625B"/>
    <w:rsid w:val="0F8E2A2A"/>
    <w:rsid w:val="10E36DA6"/>
    <w:rsid w:val="116D4D64"/>
    <w:rsid w:val="116E6670"/>
    <w:rsid w:val="118F7958"/>
    <w:rsid w:val="11965BC6"/>
    <w:rsid w:val="11B30526"/>
    <w:rsid w:val="12456514"/>
    <w:rsid w:val="127F0756"/>
    <w:rsid w:val="13A97E33"/>
    <w:rsid w:val="14072DAB"/>
    <w:rsid w:val="14172FEE"/>
    <w:rsid w:val="1442743B"/>
    <w:rsid w:val="14465682"/>
    <w:rsid w:val="14A16D5C"/>
    <w:rsid w:val="153C0E2B"/>
    <w:rsid w:val="15C339F6"/>
    <w:rsid w:val="15E84B86"/>
    <w:rsid w:val="1602382A"/>
    <w:rsid w:val="16027CCE"/>
    <w:rsid w:val="16173E42"/>
    <w:rsid w:val="163E7027"/>
    <w:rsid w:val="16DB5131"/>
    <w:rsid w:val="17051824"/>
    <w:rsid w:val="17600C4E"/>
    <w:rsid w:val="17814E9E"/>
    <w:rsid w:val="17B61D19"/>
    <w:rsid w:val="190179D6"/>
    <w:rsid w:val="192C753C"/>
    <w:rsid w:val="19B339FA"/>
    <w:rsid w:val="19B72168"/>
    <w:rsid w:val="19D674A8"/>
    <w:rsid w:val="1A0F6516"/>
    <w:rsid w:val="1ABD41C4"/>
    <w:rsid w:val="1B8E449A"/>
    <w:rsid w:val="1BA333BA"/>
    <w:rsid w:val="1BEA6CAF"/>
    <w:rsid w:val="1C213532"/>
    <w:rsid w:val="1C5126B8"/>
    <w:rsid w:val="1C6B0FC1"/>
    <w:rsid w:val="1C896A53"/>
    <w:rsid w:val="1CBA6C0D"/>
    <w:rsid w:val="1CCC4B92"/>
    <w:rsid w:val="1D587261"/>
    <w:rsid w:val="1DFB128B"/>
    <w:rsid w:val="1E2A2DA4"/>
    <w:rsid w:val="1E674B72"/>
    <w:rsid w:val="1E967206"/>
    <w:rsid w:val="1EDA05E9"/>
    <w:rsid w:val="1F6F541E"/>
    <w:rsid w:val="20225DBF"/>
    <w:rsid w:val="20315E0F"/>
    <w:rsid w:val="204D2558"/>
    <w:rsid w:val="2059498F"/>
    <w:rsid w:val="20600D5D"/>
    <w:rsid w:val="20792A83"/>
    <w:rsid w:val="20C20786"/>
    <w:rsid w:val="20F11E11"/>
    <w:rsid w:val="20FF1092"/>
    <w:rsid w:val="21047A75"/>
    <w:rsid w:val="211C60E8"/>
    <w:rsid w:val="21537630"/>
    <w:rsid w:val="21997739"/>
    <w:rsid w:val="21CB71C6"/>
    <w:rsid w:val="221548E5"/>
    <w:rsid w:val="222114DC"/>
    <w:rsid w:val="225213FC"/>
    <w:rsid w:val="22995516"/>
    <w:rsid w:val="22A96FA4"/>
    <w:rsid w:val="22D812EC"/>
    <w:rsid w:val="23036EA0"/>
    <w:rsid w:val="232F6E3D"/>
    <w:rsid w:val="23FC7B0B"/>
    <w:rsid w:val="24314552"/>
    <w:rsid w:val="24822706"/>
    <w:rsid w:val="24885842"/>
    <w:rsid w:val="24A62C98"/>
    <w:rsid w:val="24B544D7"/>
    <w:rsid w:val="24D67C6F"/>
    <w:rsid w:val="250C6474"/>
    <w:rsid w:val="25301C5F"/>
    <w:rsid w:val="258130D3"/>
    <w:rsid w:val="25C04903"/>
    <w:rsid w:val="26192621"/>
    <w:rsid w:val="26323CB8"/>
    <w:rsid w:val="265A4FBD"/>
    <w:rsid w:val="26C37006"/>
    <w:rsid w:val="26E710B9"/>
    <w:rsid w:val="27017F84"/>
    <w:rsid w:val="270218C6"/>
    <w:rsid w:val="27090EBD"/>
    <w:rsid w:val="27095246"/>
    <w:rsid w:val="2787146C"/>
    <w:rsid w:val="28245882"/>
    <w:rsid w:val="283D0195"/>
    <w:rsid w:val="2885250D"/>
    <w:rsid w:val="28E3364C"/>
    <w:rsid w:val="29016DDA"/>
    <w:rsid w:val="292917C3"/>
    <w:rsid w:val="29833FC3"/>
    <w:rsid w:val="298F1534"/>
    <w:rsid w:val="2B797C93"/>
    <w:rsid w:val="2BE21CDC"/>
    <w:rsid w:val="2C7A0167"/>
    <w:rsid w:val="2CFC417F"/>
    <w:rsid w:val="2D0068BE"/>
    <w:rsid w:val="2D126E0D"/>
    <w:rsid w:val="2D466CF2"/>
    <w:rsid w:val="2D501C02"/>
    <w:rsid w:val="2D6F134E"/>
    <w:rsid w:val="2D8E5BCE"/>
    <w:rsid w:val="2EB26EB4"/>
    <w:rsid w:val="2ED9699B"/>
    <w:rsid w:val="2EE837D4"/>
    <w:rsid w:val="2EF02962"/>
    <w:rsid w:val="2F434A73"/>
    <w:rsid w:val="308870EA"/>
    <w:rsid w:val="30CB0F91"/>
    <w:rsid w:val="31473E7A"/>
    <w:rsid w:val="318E1295"/>
    <w:rsid w:val="319D394D"/>
    <w:rsid w:val="31B00187"/>
    <w:rsid w:val="32230959"/>
    <w:rsid w:val="32473E25"/>
    <w:rsid w:val="330F66BE"/>
    <w:rsid w:val="339527A7"/>
    <w:rsid w:val="33EC6C5A"/>
    <w:rsid w:val="34523EDA"/>
    <w:rsid w:val="345D2848"/>
    <w:rsid w:val="351B3966"/>
    <w:rsid w:val="35DE4F44"/>
    <w:rsid w:val="35F25212"/>
    <w:rsid w:val="364F21ED"/>
    <w:rsid w:val="36781EAF"/>
    <w:rsid w:val="371030F6"/>
    <w:rsid w:val="372142C2"/>
    <w:rsid w:val="37E42938"/>
    <w:rsid w:val="380C11B1"/>
    <w:rsid w:val="386A78AC"/>
    <w:rsid w:val="388A4CBC"/>
    <w:rsid w:val="38A327F3"/>
    <w:rsid w:val="38CB1241"/>
    <w:rsid w:val="3999726C"/>
    <w:rsid w:val="39AD161B"/>
    <w:rsid w:val="39E76710"/>
    <w:rsid w:val="3A357430"/>
    <w:rsid w:val="3AD317E1"/>
    <w:rsid w:val="3B541C68"/>
    <w:rsid w:val="3B733504"/>
    <w:rsid w:val="3B9E333D"/>
    <w:rsid w:val="3BE76862"/>
    <w:rsid w:val="3BF75330"/>
    <w:rsid w:val="3C4A51AE"/>
    <w:rsid w:val="3C740C8E"/>
    <w:rsid w:val="3CA031F7"/>
    <w:rsid w:val="3CD04E10"/>
    <w:rsid w:val="3CED04E1"/>
    <w:rsid w:val="3CFA359E"/>
    <w:rsid w:val="3D7E2B7E"/>
    <w:rsid w:val="3E3D0FF4"/>
    <w:rsid w:val="3E854E75"/>
    <w:rsid w:val="3EEA4CD8"/>
    <w:rsid w:val="3EF75BB3"/>
    <w:rsid w:val="3FF605CD"/>
    <w:rsid w:val="41821C19"/>
    <w:rsid w:val="4182569C"/>
    <w:rsid w:val="41AE3829"/>
    <w:rsid w:val="41B617E9"/>
    <w:rsid w:val="41E2438C"/>
    <w:rsid w:val="420844F7"/>
    <w:rsid w:val="425132C0"/>
    <w:rsid w:val="4263551F"/>
    <w:rsid w:val="428B0580"/>
    <w:rsid w:val="429A6FBE"/>
    <w:rsid w:val="4427077C"/>
    <w:rsid w:val="44807DD3"/>
    <w:rsid w:val="44896D41"/>
    <w:rsid w:val="44D96EB5"/>
    <w:rsid w:val="45010FCD"/>
    <w:rsid w:val="4533705E"/>
    <w:rsid w:val="4561381A"/>
    <w:rsid w:val="46241EB4"/>
    <w:rsid w:val="46436A17"/>
    <w:rsid w:val="4649503D"/>
    <w:rsid w:val="46603870"/>
    <w:rsid w:val="468B3F91"/>
    <w:rsid w:val="469D4D26"/>
    <w:rsid w:val="46D63531"/>
    <w:rsid w:val="473D6DD5"/>
    <w:rsid w:val="474D22A8"/>
    <w:rsid w:val="47B6609F"/>
    <w:rsid w:val="47C96FCB"/>
    <w:rsid w:val="47D11F54"/>
    <w:rsid w:val="48545A7F"/>
    <w:rsid w:val="48790E7B"/>
    <w:rsid w:val="49145483"/>
    <w:rsid w:val="49535B70"/>
    <w:rsid w:val="49635DB3"/>
    <w:rsid w:val="49880C8F"/>
    <w:rsid w:val="49D15412"/>
    <w:rsid w:val="49F27137"/>
    <w:rsid w:val="4A475610"/>
    <w:rsid w:val="4BBD290A"/>
    <w:rsid w:val="4C373527"/>
    <w:rsid w:val="4C6836E0"/>
    <w:rsid w:val="4C97105C"/>
    <w:rsid w:val="4CAB7009"/>
    <w:rsid w:val="4CB66B41"/>
    <w:rsid w:val="4D8D6942"/>
    <w:rsid w:val="4D9B704B"/>
    <w:rsid w:val="4DAC55A5"/>
    <w:rsid w:val="4DB766CD"/>
    <w:rsid w:val="4DED7B65"/>
    <w:rsid w:val="4E257A1E"/>
    <w:rsid w:val="4E2F67D9"/>
    <w:rsid w:val="4E6D3230"/>
    <w:rsid w:val="4E8F31A6"/>
    <w:rsid w:val="4F0E4A13"/>
    <w:rsid w:val="4F503DFB"/>
    <w:rsid w:val="4F58791E"/>
    <w:rsid w:val="4FF53A81"/>
    <w:rsid w:val="50091D29"/>
    <w:rsid w:val="504601DC"/>
    <w:rsid w:val="5055041F"/>
    <w:rsid w:val="50767BFF"/>
    <w:rsid w:val="50A33869"/>
    <w:rsid w:val="50CD4459"/>
    <w:rsid w:val="513F6AF4"/>
    <w:rsid w:val="514927BC"/>
    <w:rsid w:val="5179148B"/>
    <w:rsid w:val="518720C4"/>
    <w:rsid w:val="518E5997"/>
    <w:rsid w:val="51C770FB"/>
    <w:rsid w:val="520619D1"/>
    <w:rsid w:val="520A1FAA"/>
    <w:rsid w:val="522052A8"/>
    <w:rsid w:val="531719BC"/>
    <w:rsid w:val="53395DD6"/>
    <w:rsid w:val="534C3D5B"/>
    <w:rsid w:val="538E7B43"/>
    <w:rsid w:val="53CB2ED2"/>
    <w:rsid w:val="540366B0"/>
    <w:rsid w:val="54144CB4"/>
    <w:rsid w:val="54231892"/>
    <w:rsid w:val="54300F87"/>
    <w:rsid w:val="546D21DB"/>
    <w:rsid w:val="549A28A4"/>
    <w:rsid w:val="54A92AE8"/>
    <w:rsid w:val="54BA7EAD"/>
    <w:rsid w:val="54BE2A37"/>
    <w:rsid w:val="54FA0765"/>
    <w:rsid w:val="55366A71"/>
    <w:rsid w:val="557547FD"/>
    <w:rsid w:val="559D43FA"/>
    <w:rsid w:val="56E46B61"/>
    <w:rsid w:val="56FC33A3"/>
    <w:rsid w:val="572052E3"/>
    <w:rsid w:val="57924B68"/>
    <w:rsid w:val="57D566CC"/>
    <w:rsid w:val="58016335"/>
    <w:rsid w:val="584F1324"/>
    <w:rsid w:val="58D427E9"/>
    <w:rsid w:val="59186333"/>
    <w:rsid w:val="59232E69"/>
    <w:rsid w:val="593B28A8"/>
    <w:rsid w:val="5A132EDD"/>
    <w:rsid w:val="5A1530F9"/>
    <w:rsid w:val="5A382944"/>
    <w:rsid w:val="5A467230"/>
    <w:rsid w:val="5AB83A84"/>
    <w:rsid w:val="5B2E4D5B"/>
    <w:rsid w:val="5B3E042E"/>
    <w:rsid w:val="5B717C1C"/>
    <w:rsid w:val="5B767BC7"/>
    <w:rsid w:val="5B865931"/>
    <w:rsid w:val="5BA54009"/>
    <w:rsid w:val="5D261179"/>
    <w:rsid w:val="5D340DF9"/>
    <w:rsid w:val="5E5F5772"/>
    <w:rsid w:val="5E8F7DB5"/>
    <w:rsid w:val="5EEDC3F8"/>
    <w:rsid w:val="5F296F4C"/>
    <w:rsid w:val="5F6917F1"/>
    <w:rsid w:val="5FBC2784"/>
    <w:rsid w:val="5FD90725"/>
    <w:rsid w:val="60B31B8C"/>
    <w:rsid w:val="60DA1397"/>
    <w:rsid w:val="61DD4BC4"/>
    <w:rsid w:val="625E7607"/>
    <w:rsid w:val="628D59E9"/>
    <w:rsid w:val="63224191"/>
    <w:rsid w:val="63251218"/>
    <w:rsid w:val="635D0996"/>
    <w:rsid w:val="636F4728"/>
    <w:rsid w:val="64AF414A"/>
    <w:rsid w:val="64D5179A"/>
    <w:rsid w:val="65473B93"/>
    <w:rsid w:val="65605AD8"/>
    <w:rsid w:val="656358BE"/>
    <w:rsid w:val="65A13680"/>
    <w:rsid w:val="65FA13F5"/>
    <w:rsid w:val="65FF0DA3"/>
    <w:rsid w:val="66B77971"/>
    <w:rsid w:val="66DA66F4"/>
    <w:rsid w:val="66F61B53"/>
    <w:rsid w:val="671F2A18"/>
    <w:rsid w:val="67963A74"/>
    <w:rsid w:val="67A935A7"/>
    <w:rsid w:val="686D6629"/>
    <w:rsid w:val="68747AC0"/>
    <w:rsid w:val="687A05CB"/>
    <w:rsid w:val="68CD71C5"/>
    <w:rsid w:val="694F7CAA"/>
    <w:rsid w:val="695F680D"/>
    <w:rsid w:val="6986198D"/>
    <w:rsid w:val="698E432E"/>
    <w:rsid w:val="69C004EE"/>
    <w:rsid w:val="69E25A91"/>
    <w:rsid w:val="6A107439"/>
    <w:rsid w:val="6A1D3904"/>
    <w:rsid w:val="6AAB6D5D"/>
    <w:rsid w:val="6B824366"/>
    <w:rsid w:val="6C5F1FB2"/>
    <w:rsid w:val="6CE93F71"/>
    <w:rsid w:val="6D87148A"/>
    <w:rsid w:val="6D876F5F"/>
    <w:rsid w:val="6DBB3B60"/>
    <w:rsid w:val="6E166FE8"/>
    <w:rsid w:val="6E5B38D1"/>
    <w:rsid w:val="6EB02F99"/>
    <w:rsid w:val="6EDF73DA"/>
    <w:rsid w:val="6F094457"/>
    <w:rsid w:val="6FAD1286"/>
    <w:rsid w:val="706405EB"/>
    <w:rsid w:val="710B4F08"/>
    <w:rsid w:val="714B249B"/>
    <w:rsid w:val="71B429A4"/>
    <w:rsid w:val="71D56E4C"/>
    <w:rsid w:val="7205184D"/>
    <w:rsid w:val="72111FA0"/>
    <w:rsid w:val="723801E3"/>
    <w:rsid w:val="72C06199"/>
    <w:rsid w:val="72D767DC"/>
    <w:rsid w:val="72E651DB"/>
    <w:rsid w:val="73626CC3"/>
    <w:rsid w:val="739B4366"/>
    <w:rsid w:val="73BB0416"/>
    <w:rsid w:val="74454183"/>
    <w:rsid w:val="74B827E1"/>
    <w:rsid w:val="750B5E8D"/>
    <w:rsid w:val="750C4CA1"/>
    <w:rsid w:val="7514442D"/>
    <w:rsid w:val="75410DEE"/>
    <w:rsid w:val="75736ACE"/>
    <w:rsid w:val="76000BBD"/>
    <w:rsid w:val="76A143CA"/>
    <w:rsid w:val="76DDF9C0"/>
    <w:rsid w:val="775A5CD6"/>
    <w:rsid w:val="77B358A8"/>
    <w:rsid w:val="77B81EDB"/>
    <w:rsid w:val="77D31AA6"/>
    <w:rsid w:val="79502D1E"/>
    <w:rsid w:val="795A247F"/>
    <w:rsid w:val="79C91E61"/>
    <w:rsid w:val="79D519F7"/>
    <w:rsid w:val="7A055254"/>
    <w:rsid w:val="7A1877A3"/>
    <w:rsid w:val="7A1F7224"/>
    <w:rsid w:val="7A387F61"/>
    <w:rsid w:val="7A7B5227"/>
    <w:rsid w:val="7A864027"/>
    <w:rsid w:val="7ACF09E3"/>
    <w:rsid w:val="7AF79EE2"/>
    <w:rsid w:val="7BCC0CE6"/>
    <w:rsid w:val="7BF24BF0"/>
    <w:rsid w:val="7C562FD2"/>
    <w:rsid w:val="7CEC70F1"/>
    <w:rsid w:val="7D2C4132"/>
    <w:rsid w:val="7D2C5EE0"/>
    <w:rsid w:val="7D4371BE"/>
    <w:rsid w:val="7D6F44EC"/>
    <w:rsid w:val="7E5C8C4E"/>
    <w:rsid w:val="7E980ABE"/>
    <w:rsid w:val="7F272239"/>
    <w:rsid w:val="7F3F70A9"/>
    <w:rsid w:val="7F645B44"/>
    <w:rsid w:val="7F7F0ED8"/>
    <w:rsid w:val="7FB55D4B"/>
    <w:rsid w:val="7FFEDE2F"/>
    <w:rsid w:val="8FBBAD1D"/>
    <w:rsid w:val="ABDE8AB7"/>
    <w:rsid w:val="BC375350"/>
    <w:rsid w:val="DEFFB33B"/>
    <w:rsid w:val="EF5EF59E"/>
    <w:rsid w:val="EFBD352D"/>
    <w:rsid w:val="F77C5607"/>
    <w:rsid w:val="FDFCD974"/>
    <w:rsid w:val="FFBA28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0"/>
    <w:rPr>
      <w:color w:val="0000FF"/>
      <w:u w:val="single"/>
    </w:rPr>
  </w:style>
  <w:style w:type="character" w:customStyle="1" w:styleId="9">
    <w:name w:val="页眉 字符"/>
    <w:basedOn w:val="7"/>
    <w:link w:val="4"/>
    <w:semiHidden/>
    <w:qFormat/>
    <w:uiPriority w:val="99"/>
    <w:rPr>
      <w:sz w:val="18"/>
      <w:szCs w:val="18"/>
    </w:rPr>
  </w:style>
  <w:style w:type="character" w:customStyle="1" w:styleId="10">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Www.Ndeer.Com</Company>
  <Pages>6</Pages>
  <Words>2837</Words>
  <Characters>2893</Characters>
  <Lines>30</Lines>
  <Paragraphs>8</Paragraphs>
  <TotalTime>1288</TotalTime>
  <ScaleCrop>false</ScaleCrop>
  <LinksUpToDate>false</LinksUpToDate>
  <CharactersWithSpaces>2893</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2020-01-09T18:42:00Z</dcterms:created>
  <dc:creator>Administrator</dc:creator>
  <cp:lastModifiedBy>kylin</cp:lastModifiedBy>
  <dcterms:modified xsi:type="dcterms:W3CDTF">2025-01-14T15:12:46Z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88C9F9DA849E46FCA024825035A0B913</vt:lpwstr>
  </property>
  <property fmtid="{D5CDD505-2E9C-101B-9397-08002B2CF9AE}" pid="4" name="KSOTemplateDocerSaveRecord">
    <vt:lpwstr>eyJoZGlkIjoiMzc0OWU3YTdkNzRlNjUwY2M4MzFmMzA3YWRlOGQ4OGYifQ==</vt:lpwstr>
  </property>
</Properties>
</file>