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center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</w:t>
      </w:r>
      <w:r>
        <w:rPr>
          <w:rFonts w:ascii="宋体" w:eastAsia="宋体" w:hint="eastAsia"/>
          <w:shd w:val="clear" w:color="auto" w:fill="auto"/>
        </w:rPr>
        <w:t>福彩圆梦·孤儿助学工程</w:t>
      </w:r>
      <w:r>
        <w:rPr>
          <w:rFonts w:ascii="宋体" w:eastAsia="宋体"/>
          <w:shd w:val="clear" w:color="auto" w:fill="auto"/>
        </w:rPr>
        <w:t>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年度“福彩圆梦·孤儿助学工程”项目由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中央彩票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年度 “福彩圆梦·孤儿助学工程”项目情况公告如下：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“福彩圆梦·孤儿助学工程”项目。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480"/>
        <w:jc w:val="left"/>
        <w:rPr>
          <w:rFonts w:ascii="仿宋_GB2312" w:eastAsia="仿宋_GB2312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sz w:val="30"/>
          <w:szCs w:val="30"/>
          <w:shd w:val="clear" w:color="auto" w:fill="auto"/>
        </w:rPr>
        <w:t>开展“</w:t>
      </w:r>
      <w:r>
        <w:rPr>
          <w:rFonts w:ascii="仿宋_GB2312" w:eastAsia="仿宋_GB2312"/>
          <w:sz w:val="30"/>
          <w:szCs w:val="30"/>
          <w:shd w:val="clear" w:color="auto" w:fill="auto"/>
        </w:rPr>
        <w:t>福彩圆梦.</w:t>
      </w:r>
      <w:r>
        <w:rPr>
          <w:rFonts w:ascii="仿宋_GB2312" w:eastAsia="仿宋_GB2312" w:hint="eastAsia"/>
          <w:sz w:val="30"/>
          <w:szCs w:val="30"/>
          <w:shd w:val="clear" w:color="auto" w:fill="auto"/>
        </w:rPr>
        <w:t>孤儿助学工程”，资助考上普通全日制本科、专科等学校的孤儿完成学业</w:t>
      </w:r>
      <w:r>
        <w:rPr>
          <w:rFonts w:ascii="仿宋_GB2312" w:eastAsia="仿宋_GB2312"/>
          <w:sz w:val="30"/>
          <w:szCs w:val="30"/>
          <w:shd w:val="clear" w:color="auto" w:fill="auto"/>
        </w:rPr>
        <w:t>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4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158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Chars="200" w:firstLine="600"/>
        <w:textAlignment w:val="auto"/>
        <w:rPr>
          <w:rFonts w:ascii="仿宋_GB2312" w:eastAsia="仿宋_GB2312" w:cs="仿宋_GB2312" w:hint="eastAsia"/>
          <w:szCs w:val="30"/>
          <w:shd w:val="clear" w:color="auto" w:fill="auto"/>
          <w:lang w:eastAsia="zh-CN"/>
          <w:highlight w:val="auto"/>
        </w:rPr>
      </w:pPr>
      <w:r>
        <w:rPr>
          <w:rFonts w:ascii="仿宋_GB2312" w:eastAsia="仿宋_GB2312" w:hint="eastAsia"/>
          <w:szCs w:val="30"/>
          <w:shd w:val="clear" w:color="auto" w:fill="auto"/>
        </w:rPr>
        <w:t>此项目资金通过“一卡通”系统发放至孤儿手中，有效确保了孤儿学业的顺利完成</w:t>
      </w:r>
      <w:bookmarkStart w:id="0" w:name="_GoBack"/>
      <w:bookmarkEnd w:id="0"/>
      <w:r>
        <w:rPr>
          <w:rFonts w:ascii="仿宋_GB2312" w:eastAsia="仿宋_GB2312"/>
          <w:sz w:val="30"/>
          <w:szCs w:val="30"/>
          <w:shd w:val="clear" w:color="auto" w:fill="auto"/>
        </w:rPr>
        <w:t>。</w:t>
      </w:r>
    </w:p>
    <w:p>
      <w:pPr>
        <w:spacing w:line="580" w:lineRule="exact"/>
        <w:ind w:firstLineChars="200" w:firstLine="420"/>
      </w:pPr>
    </w:p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variable"/>
    <w:sig w:usb0="A00002EF" w:usb1="4000207B" w:usb2="00000000" w:usb3="00000000" w:csb0="2000009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  <w:style w:type="paragraph" w:styleId="17">
    <w:name w:val="Body Text First Indent"/>
    <w:next w:val="15"/>
    <w:pPr>
      <w:widowControl w:val="0"/>
      <w:spacing w:after="0"/>
      <w:ind w:firstLineChars="100" w:firstLine="100"/>
      <w:jc w:val="both"/>
    </w:pPr>
    <w:rPr>
      <w:rFonts w:ascii="Calibri" w:eastAsia="宋体" w:cs="Times New Roman" w:hAnsi="Calibri"/>
      <w:kern w:val="2"/>
      <w:sz w:val="3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121</TotalTime>
  <Application>Yozo_Office27021597764231180</Application>
  <Pages>2</Pages>
  <Words>0</Words>
  <Characters>265</Characters>
  <Lines>0</Lines>
  <Paragraphs>21</Paragraphs>
  <CharactersWithSpaces>354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2024-06-04T01:37:50Z</dcterms:modified>
</cp:coreProperties>
</file>