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center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2023年度“护理型养老机构一次性建设补助”项目情况公告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护理型养老机构一次性建设补助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”项目由省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、市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护理型养老机构一次性建设补助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护理型养老机构一次性建设补助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keepNext w:val="0"/>
        <w:keepLines w:val="0"/>
        <w:widowControl/>
        <w:suppressLineNumbers w:val="0"/>
        <w:spacing w:line="520" w:lineRule="exact"/>
        <w:ind w:firstLineChars="200" w:firstLine="60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highlight w:val="yellow"/>
        </w:rPr>
      </w:pP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对符合条件的养老机构，按核定护理型床位给予一次性新建、扩建补助或租赁改建补助。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119.8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执行完毕。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keepNext w:val="0"/>
        <w:keepLines w:val="0"/>
        <w:widowControl/>
        <w:suppressLineNumbers w:val="0"/>
        <w:spacing w:line="520" w:lineRule="exact"/>
        <w:ind w:firstLineChars="200" w:firstLine="600"/>
        <w:jc w:val="left"/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</w:pP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全区养老护理型床位占比不断提升，2023年，新增</w:t>
      </w: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护理型</w:t>
      </w: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床位293张，护理型床位占比达到73.9%。</w:t>
      </w:r>
    </w:p>
    <w:p>
      <w:pPr>
        <w:spacing w:line="520" w:lineRule="exact"/>
        <w:ind w:firstLineChars="200" w:firstLine="420"/>
      </w:pP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99</TotalTime>
  <Application>Yozo_Office27021597764231180</Application>
  <Pages>1</Pages>
  <Words>0</Words>
  <Characters>285</Characters>
  <Lines>0</Lines>
  <Paragraphs>20</Paragraphs>
  <CharactersWithSpaces>380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2024-06-28T02:11:51Z</dcterms:modified>
</cp:coreProperties>
</file>