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2023年度“养老机构智慧消防建设补助”项目情况公告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养老机构智慧消防建设补助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市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养老机构智慧消防建设补助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养老机构智慧消防建设补助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highlight w:val="yellow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eastAsia="zh-CN"/>
          <w:highlight w:val="auto"/>
        </w:rPr>
        <w:t>为全区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val="en-US" w:eastAsia="zh-CN"/>
          <w:highlight w:val="auto"/>
        </w:rPr>
        <w:t>13家养老机构进行智慧化消防建设改造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26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正在实施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19" w:lineRule="atLeas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keepNext w:val="0"/>
        <w:keepLines w:val="0"/>
        <w:widowControl/>
        <w:suppressLineNumbers w:val="0"/>
        <w:ind w:firstLineChars="200" w:firstLine="600"/>
        <w:jc w:val="left"/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</w:pP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实现</w:t>
      </w: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了养老机构内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安全巡查检查标准化、数字化，消防控制室、配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电箱、消防管网、厨房等重点设施及部位安装物联网传感设施</w:t>
      </w: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，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实时在线监测重点部位及设施的运营状态，实现隐患的自查自纠</w:t>
      </w: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，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进一步提升</w:t>
      </w: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了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养老机构消防</w:t>
      </w: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安全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能力</w:t>
      </w: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。</w:t>
      </w:r>
    </w:p>
    <w:p>
      <w:pPr>
        <w:spacing w:line="580" w:lineRule="exact"/>
        <w:ind w:firstLineChars="200" w:firstLine="420"/>
      </w:pP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102</TotalTime>
  <Application>Yozo_Office27021597764231180</Application>
  <Pages>2</Pages>
  <Words>0</Words>
  <Characters>302</Characters>
  <Lines>0</Lines>
  <Paragraphs>20</Paragraphs>
  <CharactersWithSpaces>403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2024-06-20T07:05:59Z</dcterms:modified>
</cp:coreProperties>
</file>