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center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</w:t>
      </w:r>
      <w:r>
        <w:rPr>
          <w:rFonts w:ascii="宋体" w:eastAsia="宋体" w:cs="仿宋" w:hint="eastAsia"/>
          <w:shd w:val="clear" w:color="auto" w:fill="auto"/>
          <w:lang w:val="en-US" w:eastAsia="zh-CN"/>
        </w:rPr>
        <w:t>日间照料中心及农村幸福院</w:t>
      </w:r>
      <w:r>
        <w:rPr>
          <w:rFonts w:ascii="宋体" w:eastAsia="宋体" w:cs="仿宋"/>
          <w:shd w:val="clear" w:color="auto" w:fill="auto"/>
          <w:lang w:val="en-US" w:eastAsia="zh-CN"/>
        </w:rPr>
        <w:t>运营奖补</w:t>
      </w:r>
      <w:r>
        <w:rPr>
          <w:rFonts w:ascii="宋体" w:eastAsia="宋体"/>
          <w:shd w:val="clear" w:color="auto" w:fill="auto"/>
        </w:rPr>
        <w:t>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 w:cs="仿宋" w:hint="eastAsia"/>
          <w:b w:val="0"/>
          <w:bCs w:val="0"/>
          <w:sz w:val="30"/>
          <w:szCs w:val="30"/>
          <w:shd w:val="clear" w:color="auto" w:fill="auto"/>
          <w:lang w:val="en-US" w:eastAsia="zh-CN"/>
        </w:rPr>
        <w:t>日间照料中心及农村幸福院运营奖补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”项目由省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、市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 w:cs="仿宋" w:hint="eastAsia"/>
          <w:b w:val="0"/>
          <w:bCs w:val="0"/>
          <w:sz w:val="30"/>
          <w:szCs w:val="30"/>
          <w:shd w:val="clear" w:color="auto" w:fill="auto"/>
          <w:lang w:val="en-US" w:eastAsia="zh-CN"/>
        </w:rPr>
        <w:t>日间照料中心及农村幸福院运营奖补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 w:cs="仿宋" w:hint="eastAsia"/>
          <w:b w:val="0"/>
          <w:bCs w:val="0"/>
          <w:sz w:val="30"/>
          <w:szCs w:val="30"/>
          <w:shd w:val="clear" w:color="auto" w:fill="auto"/>
          <w:lang w:val="en-US" w:eastAsia="zh-CN"/>
        </w:rPr>
        <w:t>日间照料中心及农村幸福院运营奖补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color w:val="000000"/>
          <w:sz w:val="30"/>
          <w:szCs w:val="30"/>
          <w:shd w:val="clear" w:color="auto" w:fill="auto"/>
          <w14:textFill>
            <w14:solidFill>
              <w14:srgbClr w14:val="000000"/>
            </w14:solidFill>
          </w14:textFill>
          <w:highlight w:val="auto"/>
        </w:rPr>
      </w:pPr>
      <w:r>
        <w:rPr>
          <w:rFonts w:ascii="仿宋_GB2312" w:eastAsia="仿宋_GB2312" w:cs="仿宋"/>
          <w:b w:val="0"/>
          <w:bCs w:val="0"/>
          <w:color w:val="000000"/>
          <w:sz w:val="30"/>
          <w:szCs w:val="30"/>
          <w:shd w:val="clear" w:color="auto" w:fill="auto"/>
          <w14:textFill>
            <w14:solidFill>
              <w14:srgbClr w14:val="000000"/>
            </w14:solidFill>
          </w14:textFill>
          <w:lang w:val="en-US" w:eastAsia="zh-CN"/>
          <w:highlight w:val="auto"/>
        </w:rPr>
        <w:t>按照《山东省省级养老服务专项资金补助项目实施方案》的通知（鲁民2021〔 21〕 号），《泰安市市级养老服务专项资金补助项目实施方案》（泰民〔2021〕18号）文件规定，对</w:t>
      </w:r>
      <w:r>
        <w:rPr>
          <w:rFonts w:ascii="仿宋_GB2312" w:eastAsia="仿宋_GB2312" w:cs="仿宋" w:hint="eastAsia"/>
          <w:b w:val="0"/>
          <w:bCs w:val="0"/>
          <w:color w:val="000000"/>
          <w:sz w:val="30"/>
          <w:szCs w:val="30"/>
          <w:shd w:val="clear" w:color="auto" w:fill="auto"/>
          <w14:textFill>
            <w14:solidFill>
              <w14:srgbClr w14:val="000000"/>
            </w14:solidFill>
          </w14:textFill>
          <w:lang w:val="en-US" w:eastAsia="zh-CN"/>
          <w:highlight w:val="auto"/>
        </w:rPr>
        <w:t>20</w:t>
      </w:r>
      <w:r>
        <w:rPr>
          <w:rFonts w:ascii="仿宋_GB2312" w:eastAsia="仿宋_GB2312" w:cs="仿宋"/>
          <w:b w:val="0"/>
          <w:bCs w:val="0"/>
          <w:color w:val="000000"/>
          <w:sz w:val="30"/>
          <w:szCs w:val="30"/>
          <w:shd w:val="clear" w:color="auto" w:fill="auto"/>
          <w14:textFill>
            <w14:solidFill>
              <w14:srgbClr w14:val="000000"/>
            </w14:solidFill>
          </w14:textFill>
          <w:lang w:val="en-US" w:eastAsia="zh-CN"/>
          <w:highlight w:val="auto"/>
        </w:rPr>
        <w:t>家</w:t>
      </w:r>
      <w:r>
        <w:rPr>
          <w:rFonts w:ascii="仿宋_GB2312" w:eastAsia="仿宋_GB2312" w:cs="仿宋" w:hint="eastAsia"/>
          <w:b w:val="0"/>
          <w:bCs w:val="0"/>
          <w:color w:val="000000"/>
          <w:sz w:val="30"/>
          <w:szCs w:val="30"/>
          <w:shd w:val="clear" w:color="auto" w:fill="auto"/>
          <w14:textFill>
            <w14:solidFill>
              <w14:srgbClr w14:val="000000"/>
            </w14:solidFill>
          </w14:textFill>
          <w:lang w:val="en-US" w:eastAsia="zh-CN"/>
          <w:highlight w:val="auto"/>
        </w:rPr>
        <w:t>日间照料中心和15</w:t>
      </w:r>
      <w:r>
        <w:rPr>
          <w:rFonts w:ascii="仿宋_GB2312" w:eastAsia="仿宋_GB2312" w:cs="仿宋"/>
          <w:b w:val="0"/>
          <w:bCs w:val="0"/>
          <w:color w:val="000000"/>
          <w:sz w:val="30"/>
          <w:szCs w:val="30"/>
          <w:shd w:val="clear" w:color="auto" w:fill="auto"/>
          <w14:textFill>
            <w14:solidFill>
              <w14:srgbClr w14:val="000000"/>
            </w14:solidFill>
          </w14:textFill>
          <w:lang w:val="en-US" w:eastAsia="zh-CN"/>
          <w:highlight w:val="auto"/>
        </w:rPr>
        <w:t>家</w:t>
      </w:r>
      <w:r>
        <w:rPr>
          <w:rFonts w:ascii="仿宋_GB2312" w:eastAsia="仿宋_GB2312" w:cs="仿宋" w:hint="eastAsia"/>
          <w:b w:val="0"/>
          <w:bCs w:val="0"/>
          <w:color w:val="000000"/>
          <w:sz w:val="30"/>
          <w:szCs w:val="30"/>
          <w:shd w:val="clear" w:color="auto" w:fill="auto"/>
          <w14:textFill>
            <w14:solidFill>
              <w14:srgbClr w14:val="000000"/>
            </w14:solidFill>
          </w14:textFill>
          <w:lang w:val="en-US" w:eastAsia="zh-CN"/>
          <w:highlight w:val="auto"/>
        </w:rPr>
        <w:t>农村幸福院</w:t>
      </w:r>
      <w:r>
        <w:rPr>
          <w:rFonts w:ascii="仿宋_GB2312" w:eastAsia="仿宋_GB2312" w:cs="仿宋"/>
          <w:b w:val="0"/>
          <w:bCs w:val="0"/>
          <w:color w:val="000000"/>
          <w:sz w:val="30"/>
          <w:szCs w:val="30"/>
          <w:shd w:val="clear" w:color="auto" w:fill="auto"/>
          <w14:textFill>
            <w14:solidFill>
              <w14:srgbClr w14:val="000000"/>
            </w14:solidFill>
          </w14:textFill>
          <w:lang w:val="en-US" w:eastAsia="zh-CN"/>
          <w:highlight w:val="auto"/>
        </w:rPr>
        <w:t>实施运营奖补。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43.8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  <w:bookmarkStart w:id="0" w:name="_GoBack"/>
      <w:bookmarkEnd w:id="0"/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spacing w:line="52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养老服务质量得到有效提升，更好满足了老年人的养老服务需求。</w:t>
      </w:r>
    </w:p>
    <w:p>
      <w:pPr>
        <w:spacing w:line="560" w:lineRule="exact"/>
        <w:ind w:firstLineChars="200" w:firstLine="420"/>
      </w:pPr>
    </w:p>
    <w:sectPr>
      <w:pgSz w:w="11907" w:h="16840"/>
      <w:pgMar w:top="1134" w:right="1418" w:bottom="1134" w:left="1418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">
    <w:altName w:val="仿宋_GB2312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99</TotalTime>
  <Application>Yozo_Office27021597764231180</Application>
  <Pages>2</Pages>
  <Words>0</Words>
  <Characters>329</Characters>
  <Lines>0</Lines>
  <Paragraphs>20</Paragraphs>
  <CharactersWithSpaces>439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2024-06-28T02:09:50Z</dcterms:modified>
</cp:coreProperties>
</file>