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center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2023年度“未成年人关爱保护活动”项目情况公告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rPr>
          <w:rFonts w:hint="eastAsia" w:ascii="仿宋_GB2312" w:eastAsia="仿宋_GB2312"/>
          <w:sz w:val="30"/>
          <w:szCs w:val="30"/>
          <w:shd w:val="clear" w:color="auto" w:fill="auto"/>
        </w:rPr>
      </w:pP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未成年人关爱保护活动</w:t>
      </w: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>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市</w:t>
      </w: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  <w:lang w:val="en-US" w:eastAsia="zh-CN"/>
        </w:rPr>
        <w:t>3</w:t>
      </w: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未成年人关爱保护活动</w:t>
      </w: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未成年人关爱保护活动</w:t>
      </w: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6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80"/>
        <w:jc w:val="left"/>
        <w:rPr>
          <w:rFonts w:hint="eastAsia" w:ascii="仿宋_GB2312" w:eastAsia="仿宋_GB2312"/>
          <w:sz w:val="30"/>
          <w:szCs w:val="30"/>
          <w:shd w:val="clear" w:color="auto" w:fill="auto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shd w:val="clear" w:color="auto" w:fill="auto"/>
          <w:lang w:val="en-US" w:eastAsia="zh-CN"/>
        </w:rPr>
        <w:t>主要用于儿童督导员（儿童主任）赋能培训、困境儿童关爱活动。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10</w:t>
      </w: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158</w:t>
      </w: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hint="eastAsia" w:ascii="仿宋_GB2312" w:eastAsia="仿宋_GB2312"/>
          <w:b w:val="0"/>
          <w:bCs w:val="0"/>
          <w:sz w:val="30"/>
          <w:szCs w:val="30"/>
          <w:shd w:val="clear" w:color="auto" w:fill="auto"/>
        </w:rPr>
        <w:t xml:space="preserve"> 执行完毕。 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spacing w:line="58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通过项目的实施，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进一步提升了全区儿童关爱保护服务工作水平，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使困境儿童树立自信、坚定目标，增强安全防范和自我保护意识，形成全社会共同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关爱困境儿童的良好氛围。</w:t>
      </w:r>
    </w:p>
    <w:p/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</w:compat>
  <w:docVars>
    <w:docVar w:name="commondata" w:val="eyJoZGlkIjoiOWQxZGNjMmJlMDEwYmMzYTkxNjA5NmY4ZjkxMWZlMzAifQ=="/>
  </w:docVars>
  <w:rsids>
    <w:rsidRoot w:val="00000000"/>
    <w:rsid w:val="0555097B"/>
    <w:rsid w:val="1F446C62"/>
    <w:rsid w:val="20FB77F4"/>
    <w:rsid w:val="6D1918F8"/>
    <w:rsid w:val="7A344A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index 5"/>
    <w:next w:val="1"/>
    <w:autoRedefine/>
    <w:uiPriority w:val="0"/>
    <w:pPr>
      <w:widowControl w:val="0"/>
      <w:spacing w:line="240" w:lineRule="auto"/>
      <w:ind w:left="1680"/>
      <w:jc w:val="center"/>
    </w:pPr>
    <w:rPr>
      <w:rFonts w:ascii="黑体" w:hAnsi="Times New Roman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6">
    <w:name w:val="Normal (Web)"/>
    <w:next w:val="5"/>
    <w:uiPriority w:val="0"/>
    <w:pPr>
      <w:widowControl w:val="0"/>
      <w:spacing w:before="100" w:beforeAutospacing="1" w:after="100" w:afterAutospacing="1" w:line="240" w:lineRule="auto"/>
      <w:jc w:val="left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7">
    <w:name w:val="Body Text First Indent"/>
    <w:next w:val="5"/>
    <w:uiPriority w:val="0"/>
    <w:pPr>
      <w:widowControl w:val="0"/>
      <w:spacing w:after="0"/>
      <w:ind w:firstLine="100" w:firstLineChars="100"/>
      <w:jc w:val="both"/>
    </w:pPr>
    <w:rPr>
      <w:rFonts w:ascii="Calibri" w:hAnsi="Calibri" w:eastAsia="宋体" w:cs="Times New Roman"/>
      <w:kern w:val="2"/>
      <w:sz w:val="3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206</Words>
  <Characters>232</Characters>
  <Lines>0</Lines>
  <Paragraphs>20</Paragraphs>
  <TotalTime>0</TotalTime>
  <ScaleCrop>false</ScaleCrop>
  <LinksUpToDate>false</LinksUpToDate>
  <CharactersWithSpaces>251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2022-06-29T06:59:00Z</dcterms:created>
  <dc:creator>Administrator</dc:creator>
  <cp:lastModifiedBy>如风自在</cp:lastModifiedBy>
  <dcterms:modified xsi:type="dcterms:W3CDTF">2024-06-04T07:06:01Z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7D9AF9B68EC6425DBD1E2D3FAAEE7D1B_12</vt:lpwstr>
  </property>
</Properties>
</file>