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firstLine="880" w:firstLineChars="200"/>
        <w:jc w:val="center"/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泰安市泰山区统计局2023年政府信息公开工作年度报告</w:t>
      </w:r>
    </w:p>
    <w:p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根据《中华人民共和国政府信息公开条例》，特向社会公布2023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2023年1月1日起至2023年12月31日止。</w:t>
      </w:r>
      <w:bookmarkStart w:id="10" w:name="_GoBack"/>
      <w:bookmarkEnd w:id="1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2023年，泰山区统计局以习近平新时代中国特色社会主义思想为指导，紧紧围绕区委、区政府重大决策部署，进一步深化对政府信息公开工作的认识，切实提高政府信息公开工作主动性、自觉性，助推公开程序不断完善，公开内容持续深入，公开效果稳步提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1.主动公开。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区统计局紧紧围绕区委、区政府关于政务公开工作的各项要求，积极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拓展主动公开范围，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推动机构职能、政策法规、统计信息、业务工作等法定主动公开内容应公开尽公开，积极做好财政预决算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、双随机一公开、行政执法公示等重点领域信息公开。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2023年，通过区政府信息公开网站发布信息95条。通过图解政策、视频解读、动漫解读等多种形式，对《泰安市泰山区人民政府关于开展第五次全国经济普查的通知》（泰山政字〔2023〕2号）进行了政策解读，进一步扩大了社会公众的知情权、参与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2.依申请公开。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严格按照《中华人民共和国政府信息公开条例》办理依申请公开信息，进一步理顺和完善政府信息公开申请渠道，规范申请流程，按照申请人要求提供相关信息，提升政府信息依申请公开工作质效。2023年，区统计局政府信息公开申请受理0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3.政府信息管理。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区统计局上传至政府网站的信息，按照“谁起草谁负责”“谁审核谁负责”“谁签发谁负责”的原则，对发布信息三审三校，确保政务信息公开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做到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真实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、准确、完整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。对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应当主动公开范围内的政务信息，及时予以公开；依申请公开的政务信息，严格按照政务公开的范围，按程序及时向申请人进行公开。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4.政府信息公开平台建设。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区统计局以泰山区人民政府网站为载体，定期更新统计分析、统计月报、行政执法信息等内容，更加重视信息发布的时效性,充分用好内网和政务新媒体宣传阵地，向社会公众发布经济运行情况，解读经济普查知识，积极宣传统计法治精神，普及统计调查知识，回应社会关切。2023年，累计在内网、掌上泰山区、和美泰山、泰安日报等网站和公众号，发布统计工作动态140余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5.监督保障。一是加强政务公开体制机制建设。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明确由专门科室负责政务公开工作，指定专职人员负责政府信息公开工作。积极组织参加政务公开专题培训会议，参加区政务公开领导小组办公室的政务公开培训，政务公开工作人员业务水平持续提高。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二是严格落实工作责任。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执行日常发布内容“先审后发”机制，严把政治关、法律关、保密关。强化政务新媒体矩阵建设，加强部门协同，及时准确传递党和政府权威声音。对公开的信息进行审查复核与保密审查，确保公开的信息符合准确性和保密性要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微软雅黑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(一)目前存在问题和不足。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2023年，我局政府信息公开工作规范有序推进，但仍存在一些问题有待改进：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信息公开创新性有待进一步加强。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公开的方式主要是以文字形式展示，以视频、图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片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等方式展示的多样性不足。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二是工作人员的能力素养有待提升。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责任科室负责信息公开的人员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变动，对职责内信息公开工作存在不够专业，操作流程不够熟练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的现象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个别信息时效性有待提高。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信息公开的主动性有待加强，在公开的时效、更新频率等方面还需进一步改进。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" w:hAnsi="楷体" w:eastAsia="楷体" w:cs="楷体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(二)改进措施。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拓宽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公开形式。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加强政务新媒体建设，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利用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好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掌上泰山区、和美泰山等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新媒体平台，进一步拓宽政务公开渠道。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公开内容以文字、图片、视频等多种方式呈现。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二是加强业务培训。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按照区委、区政府的要求，对工作人员进行政府信息公开方面的培训，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加强与部门间沟通协调，优化业务水平，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深入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学习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  <w:t>政务公开的相关法律法规和政策，增强法律意识、责任意识，进一步提高业务能力和工作水平。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三是提高信息公开时效性。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定期排查信息公开内容，加强与专业科室的对接和沟通，及时收集、公开相关信息，确保信息公开准确、及时。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1.收取信息处理费的情况。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依据《政府信息公开信息处理费管理办法》，我局本年度没有收取信息公开处理费。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2.落实上级年度政务公开工作要点情况。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2023年，区统计局严格按照区委、区政府全面推进政务公开的要求，持续加强统计政务公开队伍建设，不断夯实平台管理工作基础，加强与大数据局等网站管理部门的对接，增强网站公开的力度。做好与区政务公开领导小组办公室的沟通，持续提高政务公开的法治化、标准化、规范化水平，用全面真实准确的统计数据客观反映全区经济社会发展情况，助推全区政务公开工作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3.人大代表建议和政协提案办理结果公开情况。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我局本年度没有人大建议、政协提案办理情况。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4.年度政务公开工作创新情况。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2023年，区统计局坚持以习近平新时代中国特色社会主义思想为指导，学习贯彻党的二十大精神，严格执行《中华人民共和国政府信息公开条例》，坚持“以公开为常态，不公开为例外”的原则，加强组织领导，完善工作机制，把政务公开贯穿于统计工作过程中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一是突出了部门职能作用。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2"/>
          <w:szCs w:val="32"/>
          <w:lang w:val="en-US" w:eastAsia="zh-CN" w:bidi="ar-SA"/>
        </w:rPr>
        <w:t>区统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计局作为区政府统计和国民经济核算工作部门，虽然不是直接抓经济发展，但是通过全面调查、抽样调查、专项调查等各种类型的调查，统计数据能够真实反映出整个经济的运行态势、运行质量、运行效率。我们及时发布经济分析和预测，定期发布统计分析、统计月报，力求通过政务公开工作，充分发挥统计部门的预警、监测作用，为经济社会发展提供保障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二是规范了统计执法检查。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统计执法是统计工作有效开展的重要保障。在泰山区人民政府网站的“法规规章”、“统计法律规范”等栏目，将《中华人民共和国统计法》、《中华人民共和国统计法实施条例》、《统计执法监督检查办法》等法律法规予以公布。同时明确了执法主体、执法事项、服务指南和执法流程、执法岗位信息等内容，并定期公布执法结果。</w:t>
      </w:r>
      <w:r>
        <w:rPr>
          <w:rFonts w:hint="eastAsia" w:ascii="仿宋_GB2312" w:hAnsi="仿宋" w:eastAsia="仿宋_GB2312" w:cs="仿宋"/>
          <w:b/>
          <w:bCs/>
          <w:kern w:val="2"/>
          <w:sz w:val="32"/>
          <w:szCs w:val="32"/>
          <w:lang w:val="en-US" w:eastAsia="zh-CN" w:bidi="ar-SA"/>
        </w:rPr>
        <w:t>三是公布了财务收支情况。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财务收支是政务公开的重要内容，为了加强对财务工作的管理，增强财务管理工作的透明度，提高干部职工群众理财的主人翁意识。一直以来，我局都把财务收支情况作为必示内容，定期在泰山区人民政府网站上向社会公众公开财政预决算情况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mMzU5MmU2YjBhYWZiMGRmYmFjZTFkNTQ0YzFlYzI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2FF5E45"/>
    <w:rsid w:val="04624A99"/>
    <w:rsid w:val="04661011"/>
    <w:rsid w:val="04B70785"/>
    <w:rsid w:val="04BD1BA7"/>
    <w:rsid w:val="050D2A9B"/>
    <w:rsid w:val="05137986"/>
    <w:rsid w:val="06565D7C"/>
    <w:rsid w:val="066761DB"/>
    <w:rsid w:val="0845254C"/>
    <w:rsid w:val="09616F12"/>
    <w:rsid w:val="0AC1648F"/>
    <w:rsid w:val="0BDB744F"/>
    <w:rsid w:val="0BE44893"/>
    <w:rsid w:val="0C197EFD"/>
    <w:rsid w:val="0C886EAB"/>
    <w:rsid w:val="0E601E8E"/>
    <w:rsid w:val="0E6E4D72"/>
    <w:rsid w:val="118F7958"/>
    <w:rsid w:val="129739A4"/>
    <w:rsid w:val="140908D1"/>
    <w:rsid w:val="150C0679"/>
    <w:rsid w:val="153C0E2B"/>
    <w:rsid w:val="161D0664"/>
    <w:rsid w:val="17600C4E"/>
    <w:rsid w:val="17BB1EE3"/>
    <w:rsid w:val="18475E6C"/>
    <w:rsid w:val="19C05ED6"/>
    <w:rsid w:val="1AAE21D3"/>
    <w:rsid w:val="20315E0F"/>
    <w:rsid w:val="20792A83"/>
    <w:rsid w:val="211663DC"/>
    <w:rsid w:val="21537630"/>
    <w:rsid w:val="2274785E"/>
    <w:rsid w:val="240F3F38"/>
    <w:rsid w:val="253B018C"/>
    <w:rsid w:val="25A55F80"/>
    <w:rsid w:val="283D0195"/>
    <w:rsid w:val="29E22560"/>
    <w:rsid w:val="2A336250"/>
    <w:rsid w:val="2A4F57D7"/>
    <w:rsid w:val="2C26606D"/>
    <w:rsid w:val="2C5F41A8"/>
    <w:rsid w:val="2C827B3E"/>
    <w:rsid w:val="2D126E0D"/>
    <w:rsid w:val="2EC21951"/>
    <w:rsid w:val="2ED9699B"/>
    <w:rsid w:val="30396606"/>
    <w:rsid w:val="30FE1366"/>
    <w:rsid w:val="312623FE"/>
    <w:rsid w:val="31473E7A"/>
    <w:rsid w:val="318E1295"/>
    <w:rsid w:val="33363CC8"/>
    <w:rsid w:val="364F21ED"/>
    <w:rsid w:val="3700570C"/>
    <w:rsid w:val="372142C2"/>
    <w:rsid w:val="37904CE2"/>
    <w:rsid w:val="388A4CBC"/>
    <w:rsid w:val="3BF75330"/>
    <w:rsid w:val="3CAF5C0A"/>
    <w:rsid w:val="3E4E3201"/>
    <w:rsid w:val="3E886459"/>
    <w:rsid w:val="3FF605CD"/>
    <w:rsid w:val="4024246B"/>
    <w:rsid w:val="41894C7C"/>
    <w:rsid w:val="43963680"/>
    <w:rsid w:val="453F5652"/>
    <w:rsid w:val="468B3F91"/>
    <w:rsid w:val="46E666CD"/>
    <w:rsid w:val="49117305"/>
    <w:rsid w:val="4A031344"/>
    <w:rsid w:val="4A280DAA"/>
    <w:rsid w:val="4C7C3833"/>
    <w:rsid w:val="4E2F67D9"/>
    <w:rsid w:val="5086682B"/>
    <w:rsid w:val="50CD4459"/>
    <w:rsid w:val="51053BF3"/>
    <w:rsid w:val="540366B0"/>
    <w:rsid w:val="568A0A89"/>
    <w:rsid w:val="57B11EF1"/>
    <w:rsid w:val="59186333"/>
    <w:rsid w:val="59561490"/>
    <w:rsid w:val="5C013209"/>
    <w:rsid w:val="5CA611A4"/>
    <w:rsid w:val="5D5A7075"/>
    <w:rsid w:val="5DE66B5A"/>
    <w:rsid w:val="5E135BA1"/>
    <w:rsid w:val="5EEDC3F8"/>
    <w:rsid w:val="5F074FDA"/>
    <w:rsid w:val="60DA1397"/>
    <w:rsid w:val="635D0996"/>
    <w:rsid w:val="637864A7"/>
    <w:rsid w:val="65FF0DA3"/>
    <w:rsid w:val="671F2A18"/>
    <w:rsid w:val="6C731AE5"/>
    <w:rsid w:val="6CD04C5E"/>
    <w:rsid w:val="6D4573FA"/>
    <w:rsid w:val="6D876F5F"/>
    <w:rsid w:val="6EE53863"/>
    <w:rsid w:val="6EEB3FD1"/>
    <w:rsid w:val="6F0137F4"/>
    <w:rsid w:val="718030F6"/>
    <w:rsid w:val="72646574"/>
    <w:rsid w:val="727E6F0A"/>
    <w:rsid w:val="73EF4F0F"/>
    <w:rsid w:val="748D6864"/>
    <w:rsid w:val="762C1BC5"/>
    <w:rsid w:val="76DDF9C0"/>
    <w:rsid w:val="77B81EDB"/>
    <w:rsid w:val="77BE04D4"/>
    <w:rsid w:val="77E45A61"/>
    <w:rsid w:val="77FE4D75"/>
    <w:rsid w:val="7A387F61"/>
    <w:rsid w:val="7AF79EE2"/>
    <w:rsid w:val="7BAE260E"/>
    <w:rsid w:val="7CAA54CB"/>
    <w:rsid w:val="7E5C8C4E"/>
    <w:rsid w:val="7EAA17D2"/>
    <w:rsid w:val="7EED342C"/>
    <w:rsid w:val="7F2D4191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0</TotalTime>
  <ScaleCrop>false</ScaleCrop>
  <LinksUpToDate>false</LinksUpToDate>
  <CharactersWithSpaces>4263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后来</cp:lastModifiedBy>
  <dcterms:modified xsi:type="dcterms:W3CDTF">2024-01-12T01:01:12Z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87D58346888D454998EB2E273C833F72_13</vt:lpwstr>
  </property>
</Properties>
</file>