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泰山政办字〔2023〕6号</w:t>
      </w: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方正小标宋简体" w:eastAsia="方正小标宋简体"/>
          <w:bCs/>
          <w:sz w:val="44"/>
          <w:szCs w:val="44"/>
        </w:rPr>
      </w:pPr>
    </w:p>
    <w:p>
      <w:pPr>
        <w:snapToGrid w:val="0"/>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泰山区人民政府办公室</w:t>
      </w:r>
    </w:p>
    <w:p>
      <w:pPr>
        <w:snapToGrid w:val="0"/>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关于印发泰山区房屋建筑和市政工程建设</w:t>
      </w:r>
    </w:p>
    <w:p>
      <w:pPr>
        <w:snapToGrid w:val="0"/>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生产安全事故应急救援预案的通知</w:t>
      </w:r>
    </w:p>
    <w:p>
      <w:pPr>
        <w:snapToGrid w:val="0"/>
        <w:spacing w:line="600" w:lineRule="exact"/>
        <w:jc w:val="left"/>
        <w:rPr>
          <w:rFonts w:ascii="仿宋_GB2312" w:eastAsia="仿宋_GB2312"/>
          <w:bCs/>
          <w:sz w:val="32"/>
          <w:szCs w:val="32"/>
        </w:rPr>
      </w:pPr>
    </w:p>
    <w:p>
      <w:pPr>
        <w:snapToGrid w:val="0"/>
        <w:spacing w:line="600" w:lineRule="exact"/>
        <w:jc w:val="left"/>
        <w:rPr>
          <w:rFonts w:ascii="仿宋_GB2312" w:eastAsia="仿宋_GB2312"/>
          <w:bCs/>
          <w:sz w:val="32"/>
          <w:szCs w:val="32"/>
        </w:rPr>
      </w:pPr>
    </w:p>
    <w:p>
      <w:pPr>
        <w:snapToGrid w:val="0"/>
        <w:spacing w:line="600" w:lineRule="exact"/>
        <w:jc w:val="left"/>
        <w:rPr>
          <w:rFonts w:ascii="仿宋_GB2312" w:hAnsi="仿宋_GB2312" w:eastAsia="仿宋_GB2312" w:cs="仿宋_GB2312"/>
          <w:bCs/>
          <w:spacing w:val="-10"/>
          <w:sz w:val="32"/>
          <w:szCs w:val="32"/>
        </w:rPr>
      </w:pPr>
      <w:r>
        <w:rPr>
          <w:rFonts w:hint="eastAsia" w:ascii="仿宋_GB2312" w:hAnsi="仿宋_GB2312" w:eastAsia="仿宋_GB2312" w:cs="仿宋_GB2312"/>
          <w:bCs/>
          <w:spacing w:val="-10"/>
          <w:sz w:val="32"/>
          <w:szCs w:val="32"/>
        </w:rPr>
        <w:t>各街道办事处、镇人民政府，各园区管委会，区政府有关部门单位：</w:t>
      </w:r>
    </w:p>
    <w:p>
      <w:pPr>
        <w:snapToGrid w:val="0"/>
        <w:spacing w:line="60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《泰山区房屋建筑和市政工程建设生产安全事故应急救援预案》已经区政府同意，现印发给你们，请认真遵照执行。</w:t>
      </w:r>
    </w:p>
    <w:p>
      <w:pPr>
        <w:snapToGrid w:val="0"/>
        <w:spacing w:line="600" w:lineRule="exact"/>
        <w:jc w:val="left"/>
        <w:rPr>
          <w:rFonts w:ascii="仿宋_GB2312" w:hAnsi="仿宋_GB2312" w:eastAsia="仿宋_GB2312" w:cs="仿宋_GB2312"/>
          <w:bCs/>
          <w:sz w:val="32"/>
          <w:szCs w:val="32"/>
        </w:rPr>
      </w:pPr>
    </w:p>
    <w:p>
      <w:pPr>
        <w:snapToGrid w:val="0"/>
        <w:spacing w:line="600" w:lineRule="exact"/>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p>
    <w:p>
      <w:pPr>
        <w:snapToGrid w:val="0"/>
        <w:spacing w:line="600" w:lineRule="exact"/>
        <w:ind w:right="640"/>
        <w:jc w:val="righ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泰安市泰山区人民政府办公室</w:t>
      </w:r>
    </w:p>
    <w:p>
      <w:pPr>
        <w:snapToGrid w:val="0"/>
        <w:spacing w:line="600" w:lineRule="exact"/>
        <w:ind w:firstLine="5040" w:firstLineChars="1575"/>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2023年6月5日  </w:t>
      </w:r>
    </w:p>
    <w:p>
      <w:pPr>
        <w:snapToGrid w:val="0"/>
        <w:spacing w:line="200" w:lineRule="exact"/>
        <w:jc w:val="left"/>
        <w:rPr>
          <w:rFonts w:ascii="仿宋_GB2312" w:eastAsia="仿宋_GB2312"/>
          <w:bCs/>
          <w:sz w:val="32"/>
          <w:szCs w:val="32"/>
        </w:rPr>
      </w:pPr>
    </w:p>
    <w:p>
      <w:pPr>
        <w:snapToGrid w:val="0"/>
        <w:spacing w:line="600" w:lineRule="exact"/>
        <w:jc w:val="left"/>
        <w:rPr>
          <w:bCs/>
          <w:sz w:val="44"/>
          <w:szCs w:val="44"/>
        </w:rPr>
      </w:pPr>
      <w:r>
        <w:rPr>
          <w:rFonts w:hint="eastAsia" w:ascii="仿宋_GB2312" w:eastAsia="仿宋_GB2312"/>
          <w:bCs/>
          <w:sz w:val="32"/>
          <w:szCs w:val="32"/>
        </w:rPr>
        <w:t>（此件公开发布）</w:t>
      </w:r>
      <w:r>
        <w:rPr>
          <w:bCs/>
          <w:sz w:val="44"/>
          <w:szCs w:val="44"/>
        </w:rPr>
        <w:br w:type="page"/>
      </w:r>
    </w:p>
    <w:p>
      <w:pPr>
        <w:snapToGrid w:val="0"/>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泰山区房屋建筑和市政工程建设生产安全事故</w:t>
      </w:r>
    </w:p>
    <w:p>
      <w:pPr>
        <w:snapToGrid w:val="0"/>
        <w:spacing w:line="600" w:lineRule="exact"/>
        <w:jc w:val="center"/>
        <w:rPr>
          <w:rFonts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应 急 救 援 预 案</w:t>
      </w:r>
    </w:p>
    <w:p>
      <w:pPr>
        <w:snapToGrid w:val="0"/>
        <w:spacing w:line="600" w:lineRule="exact"/>
        <w:jc w:val="center"/>
        <w:rPr>
          <w:rFonts w:ascii="方正小标宋简体" w:eastAsia="方正小标宋简体"/>
          <w:bCs/>
          <w:sz w:val="52"/>
          <w:szCs w:val="52"/>
        </w:rPr>
      </w:pP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楷体_GB2312" w:hAnsi="楷体_GB2312" w:eastAsia="楷体_GB2312" w:cs="楷体_GB2312"/>
          <w:bCs/>
          <w:sz w:val="32"/>
          <w:szCs w:val="32"/>
        </w:rPr>
      </w:pPr>
      <w:r>
        <w:rPr>
          <w:rFonts w:hint="eastAsia" w:ascii="楷体_GB2312" w:hAnsi="楷体_GB2312" w:eastAsia="楷体_GB2312" w:cs="楷体_GB2312"/>
          <w:bCs/>
          <w:sz w:val="32"/>
          <w:szCs w:val="32"/>
        </w:rPr>
        <w:t>1.1编制目的</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为进一步增强应对突发事件的能力，及时有效地处置我区辖区内发生的房屋建筑和市政工程生产安全事故，最大限度预防和减少人员伤亡、财产损失以及不良社会影响，维护经济社会正常秩序，制定本预案。</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1.2工作原则</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Times New Roman" w:hAnsi="Times New Roman" w:eastAsia="楷体_GB2312"/>
          <w:bCs/>
          <w:sz w:val="32"/>
          <w:szCs w:val="32"/>
        </w:rPr>
      </w:pPr>
      <w:r>
        <w:rPr>
          <w:rFonts w:hint="eastAsia" w:ascii="仿宋_GB2312" w:hAnsi="仿宋_GB2312" w:eastAsia="仿宋_GB2312" w:cs="仿宋_GB2312"/>
          <w:b/>
          <w:bCs/>
          <w:sz w:val="32"/>
          <w:szCs w:val="32"/>
        </w:rPr>
        <w:t>（1）以人为本</w:t>
      </w:r>
      <w:r>
        <w:rPr>
          <w:rFonts w:ascii="Times New Roman" w:hAnsi="Times New Roman" w:eastAsia="仿宋_GB2312"/>
          <w:b/>
          <w:bCs/>
          <w:sz w:val="32"/>
          <w:szCs w:val="32"/>
        </w:rPr>
        <w:t>。</w:t>
      </w:r>
      <w:r>
        <w:rPr>
          <w:rFonts w:ascii="Times New Roman" w:hAnsi="Times New Roman" w:eastAsia="仿宋_GB2312"/>
          <w:sz w:val="32"/>
          <w:szCs w:val="32"/>
        </w:rPr>
        <w:t>处置应急事故要坚持以人为本的原则，把保障人民群众生命财产安全作为首要任务,最大限度地减少人员伤亡，降低财产损失。</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baseline"/>
        <w:rPr>
          <w:rFonts w:ascii="Times New Roman" w:hAnsi="Times New Roman" w:eastAsia="仿宋_GB2312"/>
          <w:sz w:val="32"/>
          <w:szCs w:val="32"/>
        </w:rPr>
      </w:pPr>
      <w:r>
        <w:rPr>
          <w:rFonts w:ascii="仿宋_GB2312" w:hAnsi="仿宋_GB2312" w:eastAsia="仿宋_GB2312" w:cs="仿宋_GB2312"/>
          <w:b/>
          <w:bCs/>
          <w:sz w:val="32"/>
          <w:szCs w:val="32"/>
        </w:rPr>
        <w:t>（2）</w:t>
      </w:r>
      <w:r>
        <w:rPr>
          <w:rFonts w:ascii="Times New Roman" w:hAnsi="Times New Roman" w:eastAsia="仿宋_GB2312"/>
          <w:b/>
          <w:bCs/>
          <w:sz w:val="32"/>
          <w:szCs w:val="32"/>
        </w:rPr>
        <w:t>统一领导。</w:t>
      </w:r>
      <w:r>
        <w:rPr>
          <w:rFonts w:ascii="Times New Roman" w:hAnsi="Times New Roman" w:eastAsia="仿宋_GB2312"/>
          <w:sz w:val="32"/>
          <w:szCs w:val="32"/>
        </w:rPr>
        <w:t>在区政府统一领导下，实行行政首长负责制。有关部门各司其职、各负其责，建立健全分级负责、属地管理、专业处置为主的管理体制。</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baseline"/>
        <w:rPr>
          <w:rFonts w:ascii="Times New Roman" w:hAnsi="Times New Roman" w:eastAsia="仿宋_GB2312"/>
          <w:sz w:val="32"/>
          <w:szCs w:val="32"/>
        </w:rPr>
      </w:pPr>
      <w:r>
        <w:rPr>
          <w:rFonts w:ascii="仿宋_GB2312" w:hAnsi="仿宋_GB2312" w:eastAsia="仿宋_GB2312" w:cs="仿宋_GB2312"/>
          <w:b/>
          <w:bCs/>
          <w:sz w:val="32"/>
          <w:szCs w:val="32"/>
        </w:rPr>
        <w:t>（3）快速</w:t>
      </w:r>
      <w:r>
        <w:rPr>
          <w:rFonts w:ascii="Times New Roman" w:hAnsi="Times New Roman" w:eastAsia="仿宋_GB2312"/>
          <w:b/>
          <w:bCs/>
          <w:sz w:val="32"/>
          <w:szCs w:val="32"/>
        </w:rPr>
        <w:t>反应。</w:t>
      </w:r>
      <w:r>
        <w:rPr>
          <w:rFonts w:ascii="Times New Roman" w:hAnsi="Times New Roman" w:eastAsia="仿宋_GB2312"/>
          <w:sz w:val="32"/>
          <w:szCs w:val="32"/>
        </w:rPr>
        <w:t>有关部门要与事故发生地街道镇、园区密切协作，保证事故信息及时报告、准确传递。</w:t>
      </w:r>
    </w:p>
    <w:p>
      <w:pPr>
        <w:keepNext w:val="0"/>
        <w:keepLines w:val="0"/>
        <w:pageBreakBefore w:val="0"/>
        <w:widowControl w:val="0"/>
        <w:kinsoku/>
        <w:wordWrap/>
        <w:overflowPunct/>
        <w:topLinePunct w:val="0"/>
        <w:autoSpaceDE/>
        <w:autoSpaceDN/>
        <w:bidi w:val="0"/>
        <w:adjustRightInd/>
        <w:snapToGrid w:val="0"/>
        <w:spacing w:line="590" w:lineRule="exact"/>
        <w:ind w:firstLine="643" w:firstLineChars="200"/>
        <w:textAlignment w:val="baseline"/>
        <w:rPr>
          <w:rFonts w:ascii="Times New Roman" w:hAnsi="Times New Roman" w:eastAsia="仿宋_GB2312"/>
          <w:sz w:val="32"/>
          <w:szCs w:val="32"/>
        </w:rPr>
      </w:pPr>
      <w:r>
        <w:rPr>
          <w:rFonts w:ascii="仿宋_GB2312" w:hAnsi="仿宋_GB2312" w:eastAsia="仿宋_GB2312" w:cs="仿宋_GB2312"/>
          <w:b/>
          <w:bCs/>
          <w:sz w:val="32"/>
          <w:szCs w:val="32"/>
        </w:rPr>
        <w:t>（4）属地</w:t>
      </w:r>
      <w:r>
        <w:rPr>
          <w:rFonts w:ascii="Times New Roman" w:hAnsi="Times New Roman" w:eastAsia="仿宋_GB2312"/>
          <w:b/>
          <w:bCs/>
          <w:sz w:val="32"/>
          <w:szCs w:val="32"/>
        </w:rPr>
        <w:t>负责。</w:t>
      </w:r>
      <w:r>
        <w:rPr>
          <w:rFonts w:ascii="Times New Roman" w:hAnsi="Times New Roman" w:eastAsia="仿宋_GB2312"/>
          <w:sz w:val="32"/>
          <w:szCs w:val="32"/>
        </w:rPr>
        <w:t>事故发生地街道镇、园区是事故应急处置主体，承担处置事故的首要责任，要动员社会力量，有组织地参与事故的处置活动。</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1.3编制依据</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中华人民共和国安全生产法》《中华人民共和国建筑法》《建设工程安全生产管理条例》《安全生产许可证条例》《生产安全事故报告和调查处理条例》《山东省突发事件应对条例》《山东省建筑安全生产管理规定》《山东省生产安全事故应急办法》等有关法律法规规定和《泰安市房屋建筑和市政工程建设及燃气生产安全事故应急预案》等。</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1.4适用范围及事故分级</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Times New Roman" w:hAnsi="Times New Roman" w:eastAsia="仿宋_GB2312"/>
          <w:spacing w:val="-6"/>
          <w:sz w:val="32"/>
          <w:szCs w:val="32"/>
        </w:rPr>
      </w:pPr>
      <w:r>
        <w:rPr>
          <w:rFonts w:ascii="Times New Roman" w:hAnsi="Times New Roman" w:eastAsia="仿宋_GB2312"/>
          <w:sz w:val="32"/>
          <w:szCs w:val="32"/>
        </w:rPr>
        <w:t>本预案适用于泰山区行政区域内房屋建筑和市政工程一般</w:t>
      </w:r>
      <w:r>
        <w:rPr>
          <w:rFonts w:ascii="Times New Roman" w:hAnsi="Times New Roman" w:eastAsia="仿宋_GB2312"/>
          <w:spacing w:val="-6"/>
          <w:sz w:val="32"/>
          <w:szCs w:val="32"/>
        </w:rPr>
        <w:t>及以上事故的应急处置响应。根据生产安全事故（以下简称事故）造成的人员伤亡或者直接经济损失，事故一般分为以下等级：</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（1）特别重大事故，是指造成30人以上死亡，或者100人以上重伤，或者1亿元以上直接经济损失的事故；</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（4）一般事故，是指造成3人以下死亡，或者10人以下重伤，或者1000万元以下直接经济损失的事故。</w:t>
      </w:r>
    </w:p>
    <w:p>
      <w:pPr>
        <w:keepNext w:val="0"/>
        <w:keepLines w:val="0"/>
        <w:pageBreakBefore w:val="0"/>
        <w:widowControl w:val="0"/>
        <w:kinsoku/>
        <w:wordWrap/>
        <w:overflowPunct/>
        <w:topLinePunct w:val="0"/>
        <w:autoSpaceDE/>
        <w:autoSpaceDN/>
        <w:bidi w:val="0"/>
        <w:adjustRightInd/>
        <w:snapToGrid w:val="0"/>
        <w:spacing w:line="59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等</w:t>
      </w:r>
      <w:r>
        <w:rPr>
          <w:rFonts w:ascii="Times New Roman" w:hAnsi="Times New Roman" w:eastAsia="仿宋_GB2312"/>
          <w:spacing w:val="-6"/>
          <w:sz w:val="32"/>
          <w:szCs w:val="32"/>
        </w:rPr>
        <w:t>级划分所称的“以上”包括本数，所称的“以下”不包括本数</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9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1.5预警及级别</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区住建局及各街道镇、园区应当对自然灾害及其他突发事件等进行研究分析，对可能造成或引发房屋建筑和市政工程建设生产安全事故的，应及时做出必要的预防预警。</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可能造成特别重大事故时红色预警，重大事故时橙色预警，较大事故时黄色预警，一般事故时蓝色预警。</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预警信息应当以可靠方式通知到相关应急机构及相关部门、单位、项目。</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黑体" w:hAnsi="黑体" w:eastAsia="黑体" w:cs="黑体"/>
          <w:sz w:val="32"/>
          <w:szCs w:val="32"/>
        </w:rPr>
      </w:pPr>
      <w:r>
        <w:rPr>
          <w:rFonts w:ascii="黑体" w:hAnsi="黑体" w:eastAsia="黑体" w:cs="黑体"/>
          <w:sz w:val="32"/>
          <w:szCs w:val="32"/>
        </w:rPr>
        <w:t>2应急组织体系</w:t>
      </w:r>
    </w:p>
    <w:p>
      <w:pPr>
        <w:keepNext w:val="0"/>
        <w:keepLines w:val="0"/>
        <w:pageBreakBefore w:val="0"/>
        <w:widowControl w:val="0"/>
        <w:kinsoku/>
        <w:wordWrap/>
        <w:overflowPunct/>
        <w:topLinePunct w:val="0"/>
        <w:autoSpaceDE/>
        <w:autoSpaceDN/>
        <w:bidi w:val="0"/>
        <w:adjustRightInd/>
        <w:snapToGrid w:val="0"/>
        <w:spacing w:line="61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2.1指挥机构</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设立区房屋建筑和市政工程生产安全事故应急救援指挥部（以下简称指挥部），负责组织指挥应急救援工作。总指挥由区政府分管副区长担任，副指挥由区住建局主要负责人和事故发生地街道镇、园区主要负责人担任，指挥部成员由区委宣传部、区人力资源和社会保障局、区民政局、区卫生健康局、区应急管理局、区总工会、市公安局泰山分局、区消防救援大队等相关部门单位负责人组成。</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应急救援指挥部主要职责：指挥、协调现场应急救援工作；组织营救受害人员，转移、撤离、疏散可能受到事故危害的人员和重要财产；及时掌握事故现场人员伤亡、损失及抢险救援工作进展情况；划定事故现场的警戒范围，协调有关部门实施必要的交通管制及其它强制性措施；迅速控制事故危险源，并对事故造成的危害进行监控，确定事故的危害程度；宣布应急救援工作结束。</w:t>
      </w:r>
    </w:p>
    <w:p>
      <w:pPr>
        <w:keepNext w:val="0"/>
        <w:keepLines w:val="0"/>
        <w:pageBreakBefore w:val="0"/>
        <w:widowControl w:val="0"/>
        <w:kinsoku/>
        <w:wordWrap/>
        <w:overflowPunct/>
        <w:topLinePunct w:val="0"/>
        <w:autoSpaceDE/>
        <w:autoSpaceDN/>
        <w:bidi w:val="0"/>
        <w:adjustRightInd/>
        <w:snapToGrid w:val="0"/>
        <w:spacing w:line="61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2.2办事机构</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应急救援指挥部设立房屋建筑工程和市政工程生产安全事故应急救援指挥办公室，办公室主任由区住建局主要负责人和事故发生地街道镇、园区主要负责人担任，成员由指挥部成员单位有关人员组成。负责传达现场指挥部领导决定，协调督促相关单位落实现场指挥部领导下达的指令；承担外联和现场指挥部内部协调、资料收集等工作。</w:t>
      </w:r>
    </w:p>
    <w:p>
      <w:pPr>
        <w:keepNext w:val="0"/>
        <w:keepLines w:val="0"/>
        <w:pageBreakBefore w:val="0"/>
        <w:widowControl w:val="0"/>
        <w:kinsoku/>
        <w:wordWrap/>
        <w:overflowPunct/>
        <w:topLinePunct w:val="0"/>
        <w:autoSpaceDE/>
        <w:autoSpaceDN/>
        <w:bidi w:val="0"/>
        <w:adjustRightInd/>
        <w:snapToGrid w:val="0"/>
        <w:spacing w:line="61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2.3工作机构</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应急救援指挥部下设</w:t>
      </w:r>
      <w:r>
        <w:rPr>
          <w:rFonts w:hint="eastAsia" w:ascii="仿宋_GB2312" w:hAnsi="仿宋_GB2312" w:eastAsia="仿宋_GB2312" w:cs="仿宋_GB2312"/>
          <w:sz w:val="32"/>
          <w:szCs w:val="32"/>
        </w:rPr>
        <w:t>7</w:t>
      </w:r>
      <w:r>
        <w:rPr>
          <w:rFonts w:ascii="Times New Roman" w:hAnsi="Times New Roman" w:eastAsia="仿宋_GB2312"/>
          <w:sz w:val="32"/>
          <w:szCs w:val="32"/>
        </w:rPr>
        <w:t>个工作组：</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w:t>
      </w:r>
      <w:r>
        <w:rPr>
          <w:rFonts w:hint="eastAsia" w:ascii="仿宋_GB2312" w:hAnsi="仿宋_GB2312" w:eastAsia="仿宋_GB2312" w:cs="仿宋_GB2312"/>
          <w:b/>
          <w:sz w:val="32"/>
          <w:szCs w:val="32"/>
        </w:rPr>
        <w:t>1</w:t>
      </w:r>
      <w:r>
        <w:rPr>
          <w:rFonts w:ascii="Times New Roman" w:hAnsi="Times New Roman" w:eastAsia="仿宋_GB2312"/>
          <w:b/>
          <w:sz w:val="32"/>
          <w:szCs w:val="32"/>
        </w:rPr>
        <w:t>）抢险救援组。</w:t>
      </w:r>
      <w:r>
        <w:rPr>
          <w:rFonts w:ascii="Times New Roman" w:hAnsi="Times New Roman" w:eastAsia="仿宋_GB2312"/>
          <w:sz w:val="32"/>
          <w:szCs w:val="32"/>
        </w:rPr>
        <w:t>由区住建局牵头，事故发生地街道镇、园区、事故单位和指挥部紧急调集的救援队伍等有关单位人员组成，根据具体实际情况，负责参与组织疏散、排险、清障救援工作，尽一切可能抢救伤员及被困人员，防止事故进一步扩大（紧急救援队伍及救援物资详见附件</w:t>
      </w:r>
      <w:r>
        <w:rPr>
          <w:rFonts w:hint="eastAsia" w:ascii="仿宋_GB2312" w:hAnsi="仿宋_GB2312" w:eastAsia="仿宋_GB2312" w:cs="仿宋_GB2312"/>
          <w:sz w:val="32"/>
          <w:szCs w:val="32"/>
        </w:rPr>
        <w:t>8.4</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hint="eastAsia" w:ascii="仿宋_GB2312" w:hAnsi="仿宋_GB2312" w:eastAsia="仿宋_GB2312" w:cs="仿宋_GB2312"/>
          <w:b/>
          <w:sz w:val="32"/>
          <w:szCs w:val="32"/>
        </w:rPr>
        <w:t>（2）后勤保</w:t>
      </w:r>
      <w:r>
        <w:rPr>
          <w:rFonts w:ascii="Times New Roman" w:hAnsi="Times New Roman" w:eastAsia="仿宋_GB2312"/>
          <w:b/>
          <w:sz w:val="32"/>
          <w:szCs w:val="32"/>
        </w:rPr>
        <w:t>障组。</w:t>
      </w:r>
      <w:r>
        <w:rPr>
          <w:rFonts w:ascii="Times New Roman" w:hAnsi="Times New Roman" w:eastAsia="仿宋_GB2312"/>
          <w:sz w:val="32"/>
          <w:szCs w:val="32"/>
        </w:rPr>
        <w:t>由事故发生地街道镇、园区牵头，负责抢救物资及装备的供应、道路修护、组织运送撤离人员及物资等后勤保障工作。</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w:t>
      </w:r>
      <w:r>
        <w:rPr>
          <w:rFonts w:hint="eastAsia" w:ascii="仿宋_GB2312" w:hAnsi="仿宋_GB2312" w:eastAsia="仿宋_GB2312" w:cs="仿宋_GB2312"/>
          <w:b/>
          <w:sz w:val="32"/>
          <w:szCs w:val="32"/>
        </w:rPr>
        <w:t>3</w:t>
      </w:r>
      <w:r>
        <w:rPr>
          <w:rFonts w:ascii="Times New Roman" w:hAnsi="Times New Roman" w:eastAsia="仿宋_GB2312"/>
          <w:b/>
          <w:sz w:val="32"/>
          <w:szCs w:val="32"/>
        </w:rPr>
        <w:t>）警戒维护组。</w:t>
      </w:r>
      <w:r>
        <w:rPr>
          <w:rFonts w:ascii="Times New Roman" w:hAnsi="Times New Roman" w:eastAsia="仿宋_GB2312"/>
          <w:sz w:val="32"/>
          <w:szCs w:val="32"/>
        </w:rPr>
        <w:t>由市公安局泰山分局牵头，负责设置警戒区域，维护现场秩序，疏通道路，组织危险区域人员撤离，劝说围观人员离开事发现场，为快速有效实施救援创造安全有序的条件，保障救援工作有效开展。</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w:t>
      </w:r>
      <w:r>
        <w:rPr>
          <w:rFonts w:hint="eastAsia" w:ascii="仿宋_GB2312" w:hAnsi="仿宋_GB2312" w:eastAsia="仿宋_GB2312" w:cs="仿宋_GB2312"/>
          <w:b/>
          <w:sz w:val="32"/>
          <w:szCs w:val="32"/>
        </w:rPr>
        <w:t>4</w:t>
      </w:r>
      <w:r>
        <w:rPr>
          <w:rFonts w:ascii="Times New Roman" w:hAnsi="Times New Roman" w:eastAsia="仿宋_GB2312"/>
          <w:b/>
          <w:sz w:val="32"/>
          <w:szCs w:val="32"/>
        </w:rPr>
        <w:t>）技术专家组。</w:t>
      </w:r>
      <w:r>
        <w:rPr>
          <w:rFonts w:ascii="Times New Roman" w:hAnsi="Times New Roman" w:eastAsia="仿宋_GB2312"/>
          <w:sz w:val="32"/>
          <w:szCs w:val="32"/>
        </w:rPr>
        <w:t>由区住建局牵头，区消防救援大队、事故单位和有关质量、安全专家参加，负责事故现场检测、鉴定与评估，查找事故原因，评估事故发展趋势，预测事故后果，为制定现场抢救方案和事故调查提供依据。组织专家对救援工作进行专业技术指导，解决事故救援过程中遇到的技术难题。</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w:t>
      </w:r>
      <w:r>
        <w:rPr>
          <w:rFonts w:hint="eastAsia" w:ascii="仿宋_GB2312" w:hAnsi="仿宋_GB2312" w:eastAsia="仿宋_GB2312" w:cs="仿宋_GB2312"/>
          <w:b/>
          <w:sz w:val="32"/>
          <w:szCs w:val="32"/>
        </w:rPr>
        <w:t>5</w:t>
      </w:r>
      <w:r>
        <w:rPr>
          <w:rFonts w:ascii="Times New Roman" w:hAnsi="Times New Roman" w:eastAsia="仿宋_GB2312"/>
          <w:b/>
          <w:sz w:val="32"/>
          <w:szCs w:val="32"/>
        </w:rPr>
        <w:t>）医疗救护组。</w:t>
      </w:r>
      <w:r>
        <w:rPr>
          <w:rFonts w:ascii="Times New Roman" w:hAnsi="Times New Roman" w:eastAsia="仿宋_GB2312"/>
          <w:sz w:val="32"/>
          <w:szCs w:val="32"/>
        </w:rPr>
        <w:t>由区卫生健康局牵头，负责组织救护车辆和医护队伍，对受伤人员进行医疗救护。</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ascii="Times New Roman" w:hAnsi="Times New Roman" w:eastAsia="仿宋_GB2312"/>
          <w:b/>
          <w:sz w:val="32"/>
          <w:szCs w:val="32"/>
        </w:rPr>
        <w:t>（</w:t>
      </w:r>
      <w:r>
        <w:rPr>
          <w:rFonts w:hint="eastAsia" w:ascii="仿宋_GB2312" w:hAnsi="仿宋_GB2312" w:eastAsia="仿宋_GB2312" w:cs="仿宋_GB2312"/>
          <w:b/>
          <w:sz w:val="32"/>
          <w:szCs w:val="32"/>
        </w:rPr>
        <w:t>6</w:t>
      </w:r>
      <w:r>
        <w:rPr>
          <w:rFonts w:ascii="Times New Roman" w:hAnsi="Times New Roman" w:eastAsia="仿宋_GB2312"/>
          <w:b/>
          <w:sz w:val="32"/>
          <w:szCs w:val="32"/>
        </w:rPr>
        <w:t>）新闻信息组。</w:t>
      </w:r>
      <w:r>
        <w:rPr>
          <w:rFonts w:ascii="Times New Roman" w:hAnsi="Times New Roman" w:eastAsia="仿宋_GB2312"/>
          <w:sz w:val="32"/>
          <w:szCs w:val="32"/>
        </w:rPr>
        <w:t>由区委宣传部牵头，负责事故情况的收集、整理、报告、新闻发布和接受记者采访等工作。</w:t>
      </w:r>
    </w:p>
    <w:p>
      <w:pPr>
        <w:keepNext w:val="0"/>
        <w:keepLines w:val="0"/>
        <w:pageBreakBefore w:val="0"/>
        <w:widowControl w:val="0"/>
        <w:kinsoku/>
        <w:wordWrap/>
        <w:overflowPunct/>
        <w:topLinePunct w:val="0"/>
        <w:autoSpaceDE/>
        <w:autoSpaceDN/>
        <w:bidi w:val="0"/>
        <w:adjustRightInd/>
        <w:snapToGrid w:val="0"/>
        <w:spacing w:line="610" w:lineRule="exact"/>
        <w:ind w:firstLine="643" w:firstLineChars="200"/>
        <w:textAlignment w:val="baseline"/>
        <w:rPr>
          <w:rFonts w:ascii="Times New Roman" w:hAnsi="Times New Roman" w:eastAsia="仿宋_GB2312"/>
          <w:sz w:val="32"/>
          <w:szCs w:val="32"/>
        </w:rPr>
      </w:pPr>
      <w:r>
        <w:rPr>
          <w:rFonts w:hint="eastAsia" w:ascii="仿宋_GB2312" w:hAnsi="仿宋_GB2312" w:eastAsia="仿宋_GB2312" w:cs="仿宋_GB2312"/>
          <w:b/>
          <w:sz w:val="32"/>
          <w:szCs w:val="32"/>
        </w:rPr>
        <w:t>（7）</w:t>
      </w:r>
      <w:r>
        <w:rPr>
          <w:rFonts w:ascii="Times New Roman" w:hAnsi="Times New Roman" w:eastAsia="仿宋_GB2312"/>
          <w:b/>
          <w:sz w:val="32"/>
          <w:szCs w:val="32"/>
        </w:rPr>
        <w:t>善后处理组。</w:t>
      </w:r>
      <w:r>
        <w:rPr>
          <w:rFonts w:ascii="Times New Roman" w:hAnsi="Times New Roman" w:eastAsia="仿宋_GB2312"/>
          <w:sz w:val="32"/>
          <w:szCs w:val="32"/>
        </w:rPr>
        <w:t>由事故发生地街道镇、园区、区住建局牵头，区民政局，区人力资源和社会保障局、区应急局、区总工会、有关保险机构参加，按要求组织人员协助事故调查组负责伤亡人员的善后处理工作，做好伤亡人员及家属的安抚、抚恤、理赔等善后处理和社会稳定工作。</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黑体" w:hAnsi="黑体" w:eastAsia="黑体" w:cs="黑体"/>
          <w:sz w:val="32"/>
          <w:szCs w:val="32"/>
        </w:rPr>
        <w:t>3危险</w:t>
      </w:r>
      <w:r>
        <w:rPr>
          <w:rFonts w:ascii="Times New Roman" w:hAnsi="Times New Roman" w:eastAsia="黑体"/>
          <w:sz w:val="32"/>
          <w:szCs w:val="32"/>
        </w:rPr>
        <w:t>目标的确定及评估</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可能发生工程建设一般及以上生产安全事故的危险目标为：深基坑（管沟）、大跨度建筑物（构筑物）、高支模、脚手架、建筑起重机械设备安装（拆卸）使用、高处坠落、房屋及市政构筑物拆除、市政道路塌方、有限空间作业等。</w:t>
      </w:r>
    </w:p>
    <w:p>
      <w:pPr>
        <w:keepNext w:val="0"/>
        <w:keepLines w:val="0"/>
        <w:pageBreakBefore w:val="0"/>
        <w:widowControl w:val="0"/>
        <w:kinsoku/>
        <w:wordWrap/>
        <w:overflowPunct/>
        <w:topLinePunct w:val="0"/>
        <w:autoSpaceDE/>
        <w:autoSpaceDN/>
        <w:bidi w:val="0"/>
        <w:adjustRightInd/>
        <w:snapToGrid w:val="0"/>
        <w:spacing w:line="610" w:lineRule="exact"/>
        <w:ind w:firstLine="640" w:firstLineChars="200"/>
        <w:textAlignment w:val="baseline"/>
        <w:rPr>
          <w:rFonts w:ascii="黑体" w:hAnsi="黑体" w:eastAsia="黑体" w:cs="黑体"/>
          <w:sz w:val="32"/>
          <w:szCs w:val="32"/>
        </w:rPr>
      </w:pPr>
      <w:r>
        <w:rPr>
          <w:rFonts w:ascii="黑体" w:hAnsi="黑体" w:eastAsia="黑体" w:cs="黑体"/>
          <w:sz w:val="32"/>
          <w:szCs w:val="32"/>
        </w:rPr>
        <w:t>4应急救援保障及演练</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4.1应急救援队伍组成</w:t>
      </w:r>
    </w:p>
    <w:p>
      <w:pPr>
        <w:keepNext w:val="0"/>
        <w:keepLines w:val="0"/>
        <w:pageBreakBefore w:val="0"/>
        <w:widowControl w:val="0"/>
        <w:tabs>
          <w:tab w:val="left" w:pos="540"/>
        </w:tabs>
        <w:kinsoku/>
        <w:wordWrap/>
        <w:overflowPunct/>
        <w:topLinePunct w:val="0"/>
        <w:autoSpaceDE/>
        <w:autoSpaceDN/>
        <w:bidi w:val="0"/>
        <w:adjustRightInd/>
        <w:snapToGrid w:val="0"/>
        <w:spacing w:line="600" w:lineRule="exact"/>
        <w:textAlignment w:val="baseline"/>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1</w:t>
      </w:r>
      <w:r>
        <w:rPr>
          <w:rFonts w:ascii="Times New Roman" w:hAnsi="Times New Roman" w:eastAsia="仿宋_GB2312"/>
          <w:sz w:val="32"/>
          <w:szCs w:val="32"/>
        </w:rPr>
        <w:t>）区消防救援队伍。</w:t>
      </w:r>
    </w:p>
    <w:p>
      <w:pPr>
        <w:keepNext w:val="0"/>
        <w:keepLines w:val="0"/>
        <w:pageBreakBefore w:val="0"/>
        <w:widowControl w:val="0"/>
        <w:tabs>
          <w:tab w:val="left" w:pos="540"/>
        </w:tabs>
        <w:kinsoku/>
        <w:wordWrap/>
        <w:overflowPunct/>
        <w:topLinePunct w:val="0"/>
        <w:autoSpaceDE/>
        <w:autoSpaceDN/>
        <w:bidi w:val="0"/>
        <w:adjustRightInd/>
        <w:snapToGrid w:val="0"/>
        <w:spacing w:line="600" w:lineRule="exact"/>
        <w:textAlignment w:val="baseline"/>
        <w:rPr>
          <w:rFonts w:hint="eastAsia" w:ascii="仿宋_GB2312" w:hAnsi="仿宋_GB2312" w:eastAsia="仿宋_GB2312" w:cs="仿宋_GB2312"/>
          <w:sz w:val="32"/>
          <w:szCs w:val="32"/>
        </w:rPr>
      </w:pPr>
      <w:r>
        <w:rPr>
          <w:rFonts w:ascii="Times New Roman" w:hAnsi="Times New Roman" w:eastAsia="仿宋_GB2312"/>
          <w:sz w:val="32"/>
          <w:szCs w:val="32"/>
        </w:rPr>
        <w:t xml:space="preserve">    （</w:t>
      </w:r>
      <w:r>
        <w:rPr>
          <w:rFonts w:hint="eastAsia" w:ascii="仿宋_GB2312" w:hAnsi="仿宋_GB2312" w:eastAsia="仿宋_GB2312" w:cs="仿宋_GB2312"/>
          <w:sz w:val="32"/>
          <w:szCs w:val="32"/>
        </w:rPr>
        <w:t>2）施工现场事故以施工单位为主要救援队伍。</w:t>
      </w:r>
    </w:p>
    <w:p>
      <w:pPr>
        <w:keepNext w:val="0"/>
        <w:keepLines w:val="0"/>
        <w:pageBreakBefore w:val="0"/>
        <w:widowControl w:val="0"/>
        <w:tabs>
          <w:tab w:val="left" w:pos="540"/>
        </w:tabs>
        <w:kinsoku/>
        <w:wordWrap/>
        <w:overflowPunct/>
        <w:topLinePunct w:val="0"/>
        <w:autoSpaceDE/>
        <w:autoSpaceDN/>
        <w:bidi w:val="0"/>
        <w:adjustRightInd/>
        <w:snapToGrid w:val="0"/>
        <w:spacing w:line="60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（3）在企业专业能力范围内，由区内2家一级以上重点建筑施工企业作为事故应急救援的后备队伍，按就近原则调遣。</w:t>
      </w:r>
    </w:p>
    <w:p>
      <w:pPr>
        <w:keepNext w:val="0"/>
        <w:keepLines w:val="0"/>
        <w:pageBreakBefore w:val="0"/>
        <w:widowControl w:val="0"/>
        <w:kinsoku/>
        <w:wordWrap/>
        <w:overflowPunct/>
        <w:topLinePunct w:val="0"/>
        <w:autoSpaceDE/>
        <w:autoSpaceDN/>
        <w:bidi w:val="0"/>
        <w:adjustRightInd/>
        <w:snapToGrid w:val="0"/>
        <w:spacing w:line="600" w:lineRule="exact"/>
        <w:textAlignment w:val="baseline"/>
        <w:rPr>
          <w:rFonts w:ascii="Times New Roman" w:hAnsi="Times New Roman" w:eastAsia="仿宋_GB2312"/>
          <w:sz w:val="32"/>
          <w:szCs w:val="32"/>
        </w:rPr>
      </w:pPr>
      <w:r>
        <w:rPr>
          <w:rFonts w:hint="eastAsia" w:ascii="仿宋_GB2312" w:hAnsi="仿宋_GB2312" w:eastAsia="仿宋_GB2312" w:cs="仿宋_GB2312"/>
          <w:sz w:val="32"/>
          <w:szCs w:val="32"/>
        </w:rPr>
        <w:t xml:space="preserve">    （4）</w:t>
      </w:r>
      <w:r>
        <w:rPr>
          <w:rFonts w:ascii="Times New Roman" w:hAnsi="Times New Roman" w:eastAsia="仿宋_GB2312"/>
          <w:sz w:val="32"/>
          <w:szCs w:val="32"/>
        </w:rPr>
        <w:t>其他临时抢险队伍由区政府或事故发生地街道镇、园区协调组织。</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4.2应急救援物资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由区内</w:t>
      </w:r>
      <w:r>
        <w:rPr>
          <w:rFonts w:hint="eastAsia" w:ascii="仿宋_GB2312" w:hAnsi="仿宋_GB2312" w:eastAsia="仿宋_GB2312" w:cs="仿宋_GB2312"/>
          <w:sz w:val="32"/>
          <w:szCs w:val="32"/>
        </w:rPr>
        <w:t>2</w:t>
      </w:r>
      <w:r>
        <w:rPr>
          <w:rFonts w:ascii="Times New Roman" w:hAnsi="Times New Roman" w:eastAsia="仿宋_GB2312"/>
          <w:sz w:val="32"/>
          <w:szCs w:val="32"/>
        </w:rPr>
        <w:t>家重点建筑施工企业按照有关规定进行储备，并定期检查、维护与更新，保证始终处于完好状态。</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4.3应急资金保障</w:t>
      </w:r>
    </w:p>
    <w:p>
      <w:pPr>
        <w:keepNext w:val="0"/>
        <w:keepLines w:val="0"/>
        <w:pageBreakBefore w:val="0"/>
        <w:widowControl w:val="0"/>
        <w:kinsoku/>
        <w:wordWrap/>
        <w:overflowPunct/>
        <w:topLinePunct w:val="0"/>
        <w:autoSpaceDE/>
        <w:autoSpaceDN/>
        <w:bidi w:val="0"/>
        <w:adjustRightInd/>
        <w:snapToGrid w:val="0"/>
        <w:spacing w:line="600" w:lineRule="exact"/>
        <w:ind w:firstLine="729" w:firstLineChars="228"/>
        <w:textAlignment w:val="baseline"/>
        <w:rPr>
          <w:rFonts w:ascii="Times New Roman" w:hAnsi="Times New Roman" w:eastAsia="仿宋_GB2312"/>
          <w:sz w:val="32"/>
          <w:szCs w:val="32"/>
        </w:rPr>
      </w:pPr>
      <w:r>
        <w:rPr>
          <w:rFonts w:ascii="Times New Roman" w:hAnsi="Times New Roman" w:eastAsia="仿宋_GB2312"/>
          <w:sz w:val="32"/>
          <w:szCs w:val="32"/>
        </w:rPr>
        <w:t>各企业应当做好事故应急救援的资金准备。事故发生后，事发企业及时落实各类应急费用，事发地街道镇、园区负责统筹协调，并督促及时支付所需费用，事故责任单位暂时无力承担的，由事发地街道镇、园区协调解决。</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4.4应急救援演练</w:t>
      </w:r>
    </w:p>
    <w:p>
      <w:pPr>
        <w:keepNext w:val="0"/>
        <w:keepLines w:val="0"/>
        <w:pageBreakBefore w:val="0"/>
        <w:widowControl w:val="0"/>
        <w:kinsoku/>
        <w:wordWrap/>
        <w:overflowPunct/>
        <w:topLinePunct w:val="0"/>
        <w:autoSpaceDE/>
        <w:autoSpaceDN/>
        <w:bidi w:val="0"/>
        <w:adjustRightInd/>
        <w:snapToGrid w:val="0"/>
        <w:spacing w:line="600" w:lineRule="exact"/>
        <w:ind w:firstLine="729" w:firstLineChars="228"/>
        <w:textAlignment w:val="baseline"/>
        <w:rPr>
          <w:rFonts w:ascii="Times New Roman" w:hAnsi="Times New Roman" w:eastAsia="仿宋_GB2312"/>
          <w:sz w:val="32"/>
          <w:szCs w:val="32"/>
        </w:rPr>
      </w:pPr>
      <w:r>
        <w:rPr>
          <w:rFonts w:ascii="Times New Roman" w:hAnsi="Times New Roman" w:eastAsia="仿宋_GB2312"/>
          <w:sz w:val="32"/>
          <w:szCs w:val="32"/>
        </w:rPr>
        <w:t>由企业结合日常施工作业自行组织实施，内容包括熟悉掌握各类建设项目承重体系特点，安全拆除和清理现场的方式方法，大型机械设备的使用、维护和保养等。</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baseline"/>
        <w:rPr>
          <w:rFonts w:ascii="楷体_GB2312" w:hAnsi="楷体_GB2312" w:eastAsia="楷体_GB2312" w:cs="楷体_GB2312"/>
          <w:bCs/>
          <w:sz w:val="32"/>
          <w:szCs w:val="32"/>
        </w:rPr>
      </w:pPr>
      <w:r>
        <w:rPr>
          <w:rFonts w:ascii="楷体_GB2312" w:hAnsi="楷体_GB2312" w:eastAsia="楷体_GB2312" w:cs="楷体_GB2312"/>
          <w:bCs/>
          <w:sz w:val="32"/>
          <w:szCs w:val="32"/>
        </w:rPr>
        <w:t>4.5应急技术保障</w:t>
      </w:r>
    </w:p>
    <w:p>
      <w:pPr>
        <w:keepNext w:val="0"/>
        <w:keepLines w:val="0"/>
        <w:pageBreakBefore w:val="0"/>
        <w:widowControl w:val="0"/>
        <w:kinsoku/>
        <w:wordWrap/>
        <w:overflowPunct/>
        <w:topLinePunct w:val="0"/>
        <w:autoSpaceDE/>
        <w:autoSpaceDN/>
        <w:bidi w:val="0"/>
        <w:adjustRightInd/>
        <w:snapToGrid w:val="0"/>
        <w:spacing w:line="600" w:lineRule="exact"/>
        <w:ind w:firstLine="729" w:firstLineChars="228"/>
        <w:textAlignment w:val="baseline"/>
        <w:rPr>
          <w:rFonts w:ascii="Times New Roman" w:hAnsi="Times New Roman" w:eastAsia="仿宋_GB2312"/>
          <w:sz w:val="32"/>
          <w:szCs w:val="32"/>
        </w:rPr>
      </w:pPr>
      <w:r>
        <w:rPr>
          <w:rFonts w:ascii="Times New Roman" w:hAnsi="Times New Roman" w:eastAsia="仿宋_GB2312"/>
          <w:sz w:val="32"/>
          <w:szCs w:val="32"/>
        </w:rPr>
        <w:t>各街道镇、园区、各企业要建立房屋建筑和市政工程应急救援力量，完善应急预案，组建应急专家组，为事故救援提供技术保障和服务。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baseline"/>
        <w:rPr>
          <w:rFonts w:ascii="黑体" w:hAnsi="黑体" w:eastAsia="黑体" w:cs="黑体"/>
          <w:sz w:val="32"/>
          <w:szCs w:val="32"/>
        </w:rPr>
      </w:pPr>
      <w:r>
        <w:rPr>
          <w:rFonts w:ascii="黑体" w:hAnsi="黑体" w:eastAsia="黑体" w:cs="黑体"/>
          <w:sz w:val="32"/>
          <w:szCs w:val="32"/>
        </w:rPr>
        <w:t>5应急响应</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5.1事故报告</w:t>
      </w:r>
    </w:p>
    <w:p>
      <w:pPr>
        <w:widowControl w:val="0"/>
        <w:snapToGrid w:val="0"/>
        <w:spacing w:line="600" w:lineRule="exact"/>
        <w:ind w:firstLine="643" w:firstLineChars="200"/>
        <w:rPr>
          <w:rFonts w:ascii="Times New Roman" w:hAnsi="Times New Roman" w:eastAsia="仿宋_GB2312"/>
          <w:b/>
          <w:bCs/>
          <w:sz w:val="32"/>
          <w:szCs w:val="32"/>
        </w:rPr>
      </w:pPr>
      <w:r>
        <w:rPr>
          <w:rFonts w:hint="eastAsia" w:ascii="仿宋_GB2312" w:hAnsi="仿宋_GB2312" w:eastAsia="仿宋_GB2312" w:cs="仿宋_GB2312"/>
          <w:b/>
          <w:bCs/>
          <w:sz w:val="32"/>
          <w:szCs w:val="32"/>
        </w:rPr>
        <w:t>5.1.1</w:t>
      </w:r>
      <w:r>
        <w:rPr>
          <w:rFonts w:ascii="Times New Roman" w:hAnsi="Times New Roman" w:eastAsia="仿宋_GB2312"/>
          <w:b/>
          <w:bCs/>
          <w:sz w:val="32"/>
          <w:szCs w:val="32"/>
        </w:rPr>
        <w:t>报告程序</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事故发生后，第一发现人应立即报警</w:t>
      </w:r>
      <w:r>
        <w:rPr>
          <w:rFonts w:ascii="仿宋_GB2312" w:hAnsi="仿宋_GB2312" w:eastAsia="仿宋_GB2312" w:cs="仿宋_GB2312"/>
          <w:sz w:val="32"/>
          <w:szCs w:val="32"/>
        </w:rPr>
        <w:t>（119、110、120），</w:t>
      </w:r>
      <w:r>
        <w:rPr>
          <w:rFonts w:ascii="Times New Roman" w:hAnsi="Times New Roman" w:eastAsia="仿宋_GB2312"/>
          <w:sz w:val="32"/>
          <w:szCs w:val="32"/>
        </w:rPr>
        <w:t>并通知本单位负责人，同时按照有关规定，立即上报区应急局、区住建局及事故发生地街道镇、园区。现场人员要在确保自身安全，不发生次生、衍生灾害的前提下，积极有序开展自救和互救。</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区应急局和负有安全生产监督管理职责的有关部门接到事故报告后，应当按照下列规定上报事故情况，并立即报告区政府，同时通知市公安局泰山分局、区人力资源和社会保障局、区总工会和区人民检察院。</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仿宋_GB2312" w:hAnsi="仿宋_GB2312" w:eastAsia="仿宋_GB2312" w:cs="仿宋_GB2312"/>
          <w:sz w:val="32"/>
          <w:szCs w:val="32"/>
        </w:rPr>
        <w:t>1</w:t>
      </w:r>
      <w:r>
        <w:rPr>
          <w:rFonts w:ascii="Times New Roman" w:hAnsi="Times New Roman" w:eastAsia="仿宋_GB2312"/>
          <w:sz w:val="32"/>
          <w:szCs w:val="32"/>
        </w:rPr>
        <w:t>）一般事故上报至市应急局和市负有安全生产监督管理职责的有关部门；</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仿宋_GB2312" w:hAnsi="仿宋_GB2312" w:eastAsia="仿宋_GB2312" w:cs="仿宋_GB2312"/>
          <w:sz w:val="32"/>
          <w:szCs w:val="32"/>
        </w:rPr>
        <w:t>2</w:t>
      </w:r>
      <w:r>
        <w:rPr>
          <w:rFonts w:ascii="Times New Roman" w:hAnsi="Times New Roman" w:eastAsia="仿宋_GB2312"/>
          <w:sz w:val="32"/>
          <w:szCs w:val="32"/>
        </w:rPr>
        <w:t>）较大事故逐级上报至省应急厅和省负有安全生产监督管理职责的有关部门；</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3）</w:t>
      </w:r>
      <w:r>
        <w:rPr>
          <w:rFonts w:ascii="Times New Roman" w:hAnsi="Times New Roman" w:eastAsia="仿宋_GB2312"/>
          <w:sz w:val="32"/>
          <w:szCs w:val="32"/>
        </w:rPr>
        <w:t>重大事故、特别重大事故逐级上报至应急管理部和国家负有安全生产监督管理职责的有关部门。</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逐级上报，每一级上报时间不得超过</w:t>
      </w:r>
      <w:r>
        <w:rPr>
          <w:rFonts w:ascii="仿宋_GB2312" w:hAnsi="仿宋_GB2312" w:eastAsia="仿宋_GB2312" w:cs="仿宋_GB2312"/>
          <w:sz w:val="32"/>
          <w:szCs w:val="32"/>
        </w:rPr>
        <w:t>2</w:t>
      </w:r>
      <w:r>
        <w:rPr>
          <w:rFonts w:ascii="Times New Roman" w:hAnsi="Times New Roman" w:eastAsia="仿宋_GB2312"/>
          <w:sz w:val="32"/>
          <w:szCs w:val="32"/>
        </w:rPr>
        <w:t>小时。</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发生较大以上等级事故的，事故发生单位和区政府有关部门还应在</w:t>
      </w:r>
      <w:r>
        <w:rPr>
          <w:rFonts w:ascii="仿宋_GB2312" w:hAnsi="仿宋_GB2312" w:eastAsia="仿宋_GB2312" w:cs="仿宋_GB2312"/>
          <w:sz w:val="32"/>
          <w:szCs w:val="32"/>
        </w:rPr>
        <w:t>1</w:t>
      </w:r>
      <w:r>
        <w:rPr>
          <w:rFonts w:ascii="Times New Roman" w:hAnsi="Times New Roman" w:eastAsia="仿宋_GB2312"/>
          <w:sz w:val="32"/>
          <w:szCs w:val="32"/>
        </w:rPr>
        <w:t>小时内以快报的形式上报省应急厅和省负有安全生产监督管理职责的有关部门。</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区政府应当在接到事故报告后半小时内直报省政府安委会办公室；属于较大以上等级事故的，还应在</w:t>
      </w:r>
      <w:r>
        <w:rPr>
          <w:rFonts w:ascii="仿宋_GB2312" w:hAnsi="仿宋_GB2312" w:eastAsia="仿宋_GB2312" w:cs="仿宋_GB2312"/>
          <w:sz w:val="32"/>
          <w:szCs w:val="32"/>
        </w:rPr>
        <w:t>1</w:t>
      </w:r>
      <w:r>
        <w:rPr>
          <w:rFonts w:ascii="Times New Roman" w:hAnsi="Times New Roman" w:eastAsia="仿宋_GB2312"/>
          <w:sz w:val="32"/>
          <w:szCs w:val="32"/>
        </w:rPr>
        <w:t>小时内书面报告省政府安委会办公室。</w:t>
      </w:r>
    </w:p>
    <w:p>
      <w:pPr>
        <w:widowControl w:val="0"/>
        <w:snapToGrid w:val="0"/>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事故报告电话：区政府：8</w:t>
      </w:r>
      <w:r>
        <w:rPr>
          <w:rFonts w:ascii="仿宋_GB2312" w:hAnsi="仿宋_GB2312" w:eastAsia="仿宋_GB2312" w:cs="仿宋_GB2312"/>
          <w:sz w:val="32"/>
          <w:szCs w:val="32"/>
        </w:rPr>
        <w:t>228357，区应急局（区安委办）：8221568，区住建局：6236668。</w:t>
      </w:r>
    </w:p>
    <w:p>
      <w:pPr>
        <w:widowControl w:val="0"/>
        <w:snapToGrid w:val="0"/>
        <w:spacing w:line="600" w:lineRule="exact"/>
        <w:ind w:firstLine="643" w:firstLineChars="200"/>
        <w:rPr>
          <w:rFonts w:ascii="Times New Roman" w:hAnsi="Times New Roman" w:eastAsia="仿宋_GB2312"/>
          <w:sz w:val="32"/>
          <w:szCs w:val="32"/>
        </w:rPr>
      </w:pPr>
      <w:r>
        <w:rPr>
          <w:rFonts w:hint="eastAsia" w:ascii="仿宋_GB2312" w:hAnsi="仿宋_GB2312" w:eastAsia="仿宋_GB2312" w:cs="仿宋_GB2312"/>
          <w:b/>
          <w:bCs/>
          <w:sz w:val="32"/>
          <w:szCs w:val="32"/>
        </w:rPr>
        <w:t>5.1.2</w:t>
      </w:r>
      <w:r>
        <w:rPr>
          <w:rFonts w:ascii="Times New Roman" w:hAnsi="Times New Roman" w:eastAsia="仿宋_GB2312"/>
          <w:b/>
          <w:bCs/>
          <w:sz w:val="32"/>
          <w:szCs w:val="32"/>
        </w:rPr>
        <w:t>报告内容</w:t>
      </w:r>
    </w:p>
    <w:p>
      <w:pPr>
        <w:widowControl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1</w:t>
      </w:r>
      <w:r>
        <w:rPr>
          <w:rFonts w:ascii="Times New Roman" w:hAnsi="Times New Roman" w:eastAsia="仿宋_GB2312"/>
          <w:sz w:val="32"/>
          <w:szCs w:val="32"/>
        </w:rPr>
        <w:t>）事故发生的单位、时间、地点、工程项目名称；</w:t>
      </w:r>
    </w:p>
    <w:p>
      <w:pPr>
        <w:widowControl w:val="0"/>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2）伤亡人数；</w:t>
      </w:r>
    </w:p>
    <w:p>
      <w:pPr>
        <w:widowControl w:val="0"/>
        <w:spacing w:line="60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（3</w:t>
      </w:r>
      <w:r>
        <w:rPr>
          <w:rFonts w:ascii="Times New Roman" w:hAnsi="Times New Roman" w:eastAsia="仿宋_GB2312"/>
          <w:sz w:val="32"/>
          <w:szCs w:val="32"/>
        </w:rPr>
        <w:t>）事故原因的初步判断、简要经过；</w:t>
      </w:r>
    </w:p>
    <w:p>
      <w:pPr>
        <w:widowControl w:val="0"/>
        <w:spacing w:line="60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4）已经采取的救助措施和救助要求； </w:t>
      </w:r>
    </w:p>
    <w:p>
      <w:pPr>
        <w:widowControl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（5）事故报告单位、报告人、通讯方法。</w:t>
      </w:r>
    </w:p>
    <w:p>
      <w:pPr>
        <w:widowControl w:val="0"/>
        <w:spacing w:line="60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（6）</w:t>
      </w:r>
      <w:r>
        <w:rPr>
          <w:rFonts w:ascii="Times New Roman" w:hAnsi="Times New Roman" w:eastAsia="仿宋_GB2312"/>
          <w:sz w:val="32"/>
          <w:szCs w:val="32"/>
        </w:rPr>
        <w:t>其他应当报告的情况。</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事故快报、直报的内容可以适当简化；具体情况暂时不清楚的，可以先报事故总体情况。</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5.2现场保护</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事故发生地街道镇、园区、区住建局、区应急局、市公安局泰山分局应立即赶赴事故现场，做好现场保护，维护好现场治安和交通秩序。因排除险情、抢救伤员和减少财产损失等原因，确需移动现场物品的，需做出标记和详细记录，并拍照、录像，最大限度地保护现场、保留痕迹和物证。</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5.3启动预案响应</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区住建局和事故发生地街道镇、园区接到事故报告后，应立即报告指挥部，由指挥部确定是否启动本预案应急响应。</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般事故及以下事故需启动本预案响应的，由区政府批准成立的指挥部启动并组织实施本预案，立即按本预案组织人员赶赴现场，指挥应急救援工作。根据事故抢险救援的需要，指挥部可调用有关救援队伍参与应急救援。需申请启动市级房屋建筑和市政工程建设较大生产安全事故应急响应的，由区指挥部向市指挥部提出启动申请。</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较大事故及以上事故需启动本预案响应的，由区政府决定启动响应，指挥部具体组织实施，区政府逐级报告市、省、国家负有安全生产监督管理职责的有关部门，同时请求启动上级房屋建筑和市政工程建设较大生产安全事故应急响应。区级和事</w:t>
      </w:r>
      <w:r>
        <w:rPr>
          <w:rFonts w:ascii="Times New Roman" w:hAnsi="Times New Roman" w:eastAsia="仿宋_GB2312"/>
          <w:spacing w:val="-6"/>
          <w:sz w:val="32"/>
          <w:szCs w:val="32"/>
        </w:rPr>
        <w:t>发地应急救援指挥机构服从上级应急救援指挥机构的统一指挥</w:t>
      </w:r>
      <w:r>
        <w:rPr>
          <w:rFonts w:ascii="Times New Roman" w:hAnsi="Times New Roman" w:eastAsia="仿宋_GB2312"/>
          <w:sz w:val="32"/>
          <w:szCs w:val="32"/>
        </w:rPr>
        <w:t>。</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5.4应急救援</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仿宋_GB2312" w:hAnsi="仿宋_GB2312" w:eastAsia="仿宋_GB2312" w:cs="仿宋_GB2312"/>
          <w:sz w:val="32"/>
          <w:szCs w:val="32"/>
        </w:rPr>
        <w:t>1</w:t>
      </w:r>
      <w:r>
        <w:rPr>
          <w:rFonts w:ascii="Times New Roman" w:hAnsi="Times New Roman" w:eastAsia="仿宋_GB2312"/>
          <w:sz w:val="32"/>
          <w:szCs w:val="32"/>
        </w:rPr>
        <w:t>）抢救遇险人员。事故发生后，事故单位在立即报告街道镇、园区和有关部门的同时，及时、有序、有效地组织人员开展自救，搜寻、急救与安全转移伤员，降低伤亡率、减少事故损失。</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2</w:t>
      </w:r>
      <w:r>
        <w:rPr>
          <w:rFonts w:ascii="Times New Roman" w:hAnsi="Times New Roman" w:eastAsia="仿宋_GB2312"/>
          <w:sz w:val="32"/>
          <w:szCs w:val="32"/>
        </w:rPr>
        <w:t>）监控潜在险情并及时消除。对发生在人口稠密地区的事故，应尽快组织工程抢险队与技术专家及时救援，控制事故继续扩大。</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3</w:t>
      </w:r>
      <w:r>
        <w:rPr>
          <w:rFonts w:ascii="Times New Roman" w:hAnsi="Times New Roman" w:eastAsia="仿宋_GB2312"/>
          <w:sz w:val="32"/>
          <w:szCs w:val="32"/>
        </w:rPr>
        <w:t>）指导和组织群众采取各种措施进行自身防护和互救工作，并迅速撤离出危险区域。</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4</w:t>
      </w:r>
      <w:r>
        <w:rPr>
          <w:rFonts w:ascii="Times New Roman" w:hAnsi="Times New Roman" w:eastAsia="仿宋_GB2312"/>
          <w:sz w:val="32"/>
          <w:szCs w:val="32"/>
        </w:rPr>
        <w:t>）及时切断现场电力与燃气，防止引发火灾和爆炸。对可能造成人体、动植物、土壤、水源、大气等危害的物品，应迅速采取封闭、隔离、洗消等措施，并由环保、卫生等部门进行监测、处置。</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5</w:t>
      </w:r>
      <w:r>
        <w:rPr>
          <w:rFonts w:ascii="Times New Roman" w:hAnsi="Times New Roman" w:eastAsia="仿宋_GB2312"/>
          <w:sz w:val="32"/>
          <w:szCs w:val="32"/>
        </w:rPr>
        <w:t>）事态严重救援力量或医疗救护能力不足时，指挥部应立即向市级应急救援部门提出增援请求。</w:t>
      </w:r>
    </w:p>
    <w:p>
      <w:pPr>
        <w:widowControl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ascii="仿宋_GB2312" w:hAnsi="仿宋_GB2312" w:eastAsia="仿宋_GB2312" w:cs="仿宋_GB2312"/>
          <w:sz w:val="32"/>
          <w:szCs w:val="32"/>
        </w:rPr>
        <w:t>6</w:t>
      </w:r>
      <w:r>
        <w:rPr>
          <w:rFonts w:ascii="Times New Roman" w:hAnsi="Times New Roman" w:eastAsia="仿宋_GB2312"/>
          <w:sz w:val="32"/>
          <w:szCs w:val="32"/>
        </w:rPr>
        <w:t>）参加应急救援的队伍和人员应在指挥部的统一指挥、协调下，有效进行救援、处置，严防事态扩大。</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5.5新闻发布</w:t>
      </w:r>
    </w:p>
    <w:p>
      <w:pPr>
        <w:widowControl w:val="0"/>
        <w:snapToGrid w:val="0"/>
        <w:spacing w:line="600" w:lineRule="exact"/>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按照突发事件信息发布的有关规定，指挥部根据事故处置进展情况，会同新闻宣传主管部门及时准确、公开透明地发布权威信息，正确引导社会舆论。国家、省相关法律、法规或规范性文件对信息发布另有规定的，依照其规定执行。</w:t>
      </w:r>
    </w:p>
    <w:p>
      <w:pPr>
        <w:widowControl w:val="0"/>
        <w:snapToGrid w:val="0"/>
        <w:spacing w:line="600" w:lineRule="exact"/>
        <w:ind w:firstLine="640"/>
        <w:rPr>
          <w:rFonts w:ascii="楷体_GB2312" w:hAnsi="楷体_GB2312" w:eastAsia="楷体_GB2312" w:cs="楷体_GB2312"/>
          <w:bCs/>
          <w:sz w:val="32"/>
          <w:szCs w:val="32"/>
        </w:rPr>
      </w:pPr>
      <w:r>
        <w:rPr>
          <w:rFonts w:ascii="楷体_GB2312" w:hAnsi="楷体_GB2312" w:eastAsia="楷体_GB2312" w:cs="楷体_GB2312"/>
          <w:bCs/>
          <w:sz w:val="32"/>
          <w:szCs w:val="32"/>
        </w:rPr>
        <w:t>5.6善后处理</w:t>
      </w:r>
    </w:p>
    <w:p>
      <w:pPr>
        <w:widowControl w:val="0"/>
        <w:tabs>
          <w:tab w:val="left" w:pos="720"/>
        </w:tabs>
        <w:snapToGrid w:val="0"/>
        <w:spacing w:line="600" w:lineRule="exact"/>
        <w:rPr>
          <w:rFonts w:ascii="Times New Roman" w:hAnsi="Times New Roman" w:eastAsia="仿宋_GB2312"/>
          <w:sz w:val="32"/>
          <w:szCs w:val="32"/>
        </w:rPr>
      </w:pPr>
      <w:r>
        <w:rPr>
          <w:rFonts w:ascii="Times New Roman" w:hAnsi="Times New Roman" w:eastAsia="仿宋"/>
          <w:sz w:val="32"/>
          <w:szCs w:val="32"/>
        </w:rPr>
        <w:t xml:space="preserve">    </w:t>
      </w:r>
      <w:r>
        <w:rPr>
          <w:rFonts w:ascii="Times New Roman" w:hAnsi="Times New Roman" w:eastAsia="仿宋_GB2312"/>
          <w:sz w:val="32"/>
          <w:szCs w:val="32"/>
        </w:rPr>
        <w:t>指挥部要督促协调有关单位依法认真做好</w:t>
      </w:r>
      <w:r>
        <w:rPr>
          <w:rFonts w:ascii="Times New Roman" w:hAnsi="Times New Roman" w:eastAsia="仿宋"/>
          <w:sz w:val="32"/>
          <w:szCs w:val="32"/>
        </w:rPr>
        <w:t>伤亡人员</w:t>
      </w:r>
      <w:r>
        <w:rPr>
          <w:rFonts w:ascii="Times New Roman" w:hAnsi="Times New Roman" w:eastAsia="仿宋_GB2312"/>
          <w:sz w:val="32"/>
          <w:szCs w:val="32"/>
        </w:rPr>
        <w:t>家属的安抚、赔偿以及其他善后工作，确保社会稳定。</w:t>
      </w:r>
    </w:p>
    <w:p>
      <w:pPr>
        <w:widowControl w:val="0"/>
        <w:snapToGrid w:val="0"/>
        <w:spacing w:line="600" w:lineRule="exact"/>
        <w:rPr>
          <w:rFonts w:ascii="Times New Roman" w:hAnsi="Times New Roman" w:eastAsia="黑体"/>
          <w:sz w:val="32"/>
          <w:szCs w:val="32"/>
        </w:rPr>
      </w:pPr>
      <w:r>
        <w:rPr>
          <w:rFonts w:ascii="Times New Roman" w:hAnsi="Times New Roman" w:eastAsia="黑体"/>
          <w:sz w:val="32"/>
          <w:szCs w:val="32"/>
        </w:rPr>
        <w:t xml:space="preserve">   </w:t>
      </w:r>
      <w:r>
        <w:rPr>
          <w:rFonts w:ascii="黑体" w:hAnsi="黑体" w:eastAsia="黑体" w:cs="黑体"/>
          <w:sz w:val="32"/>
          <w:szCs w:val="32"/>
        </w:rPr>
        <w:t xml:space="preserve"> 6应急</w:t>
      </w:r>
      <w:r>
        <w:rPr>
          <w:rFonts w:ascii="Times New Roman" w:hAnsi="Times New Roman" w:eastAsia="黑体"/>
          <w:sz w:val="32"/>
          <w:szCs w:val="32"/>
        </w:rPr>
        <w:t>结束</w:t>
      </w:r>
    </w:p>
    <w:p>
      <w:pPr>
        <w:widowControl w:val="0"/>
        <w:tabs>
          <w:tab w:val="left" w:pos="720"/>
        </w:tabs>
        <w:snapToGrid w:val="0"/>
        <w:spacing w:line="600" w:lineRule="exact"/>
        <w:ind w:firstLine="640" w:firstLineChars="200"/>
        <w:rPr>
          <w:rFonts w:ascii="Times New Roman" w:hAnsi="Times New Roman" w:eastAsia="仿宋_GB2312"/>
          <w:sz w:val="32"/>
          <w:szCs w:val="32"/>
        </w:rPr>
      </w:pPr>
      <w:r>
        <w:rPr>
          <w:rFonts w:ascii="Times New Roman" w:hAnsi="Times New Roman" w:eastAsia="仿宋"/>
          <w:sz w:val="32"/>
          <w:szCs w:val="32"/>
        </w:rPr>
        <w:t>承担</w:t>
      </w:r>
      <w:r>
        <w:rPr>
          <w:rFonts w:ascii="Times New Roman" w:hAnsi="Times New Roman" w:eastAsia="仿宋_GB2312"/>
          <w:sz w:val="32"/>
          <w:szCs w:val="32"/>
        </w:rPr>
        <w:t>应急救援任务的有关部门和单位应及时向指挥部报告救援工作进展情况，由指挥部做出撤离现场、结束救援工作的决定。</w:t>
      </w:r>
    </w:p>
    <w:p>
      <w:pPr>
        <w:widowControl w:val="0"/>
        <w:tabs>
          <w:tab w:val="left" w:pos="720"/>
        </w:tabs>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处置工作结束后，指挥部要对处置工作进行总结、分析、评估，总结经验，找出问题，制定改进措施，并形成书面报告。主要内容包括：安全生产事故的基本情况、接报和处置过程及相关记录、应急组织指挥、应急预案执行情况、应急各阶段采取的主要措施、处置效果、遇到的问题、经验教训和改进的措施与建议等。总结评估报告以书面形式报市级有关部门。</w:t>
      </w:r>
    </w:p>
    <w:p>
      <w:pPr>
        <w:widowControl w:val="0"/>
        <w:snapToGrid w:val="0"/>
        <w:spacing w:line="600" w:lineRule="exact"/>
        <w:ind w:firstLine="640" w:firstLineChars="200"/>
        <w:rPr>
          <w:rFonts w:ascii="黑体" w:hAnsi="黑体" w:eastAsia="黑体" w:cs="黑体"/>
          <w:sz w:val="32"/>
          <w:szCs w:val="32"/>
        </w:rPr>
      </w:pPr>
      <w:r>
        <w:rPr>
          <w:rFonts w:ascii="黑体" w:hAnsi="黑体" w:eastAsia="黑体" w:cs="黑体"/>
          <w:sz w:val="32"/>
          <w:szCs w:val="32"/>
        </w:rPr>
        <w:t>7附则</w:t>
      </w:r>
    </w:p>
    <w:p>
      <w:pPr>
        <w:widowControl w:val="0"/>
        <w:snapToGrid w:val="0"/>
        <w:spacing w:line="600" w:lineRule="exact"/>
        <w:ind w:firstLine="630"/>
        <w:rPr>
          <w:rFonts w:ascii="Times New Roman" w:hAnsi="Times New Roman" w:eastAsia="黑体"/>
          <w:sz w:val="32"/>
          <w:szCs w:val="32"/>
        </w:rPr>
      </w:pPr>
      <w:r>
        <w:rPr>
          <w:rFonts w:hint="eastAsia" w:ascii="仿宋_GB2312" w:hAnsi="仿宋_GB2312" w:eastAsia="仿宋_GB2312" w:cs="仿宋_GB2312"/>
          <w:sz w:val="32"/>
          <w:szCs w:val="32"/>
        </w:rPr>
        <w:t>7.1</w:t>
      </w:r>
      <w:r>
        <w:rPr>
          <w:rFonts w:ascii="Times New Roman" w:hAnsi="Times New Roman" w:eastAsia="仿宋_GB2312"/>
          <w:sz w:val="32"/>
          <w:szCs w:val="32"/>
        </w:rPr>
        <w:t>本预案由区住房和城乡建设局负责解释，并根据情况变化和工作需要适时修订完善。</w:t>
      </w:r>
    </w:p>
    <w:p>
      <w:pPr>
        <w:widowControl w:val="0"/>
        <w:tabs>
          <w:tab w:val="left" w:pos="720"/>
        </w:tabs>
        <w:snapToGrid w:val="0"/>
        <w:spacing w:line="600" w:lineRule="exact"/>
        <w:ind w:firstLine="640" w:firstLineChars="200"/>
        <w:rPr>
          <w:rFonts w:ascii="Times New Roman" w:hAnsi="Times New Roman" w:eastAsia="仿宋_GB2312"/>
          <w:sz w:val="32"/>
          <w:szCs w:val="32"/>
        </w:rPr>
      </w:pPr>
      <w:r>
        <w:rPr>
          <w:rFonts w:ascii="仿宋_GB2312" w:hAnsi="仿宋_GB2312" w:eastAsia="仿宋_GB2312" w:cs="仿宋_GB2312"/>
          <w:sz w:val="32"/>
          <w:szCs w:val="32"/>
        </w:rPr>
        <w:t>7.2</w:t>
      </w:r>
      <w:r>
        <w:rPr>
          <w:rFonts w:ascii="Times New Roman" w:hAnsi="Times New Roman" w:eastAsia="仿宋_GB2312"/>
          <w:sz w:val="32"/>
          <w:szCs w:val="32"/>
        </w:rPr>
        <w:t>本预案自印发之日起实施。</w:t>
      </w:r>
    </w:p>
    <w:p>
      <w:pPr>
        <w:widowControl w:val="0"/>
        <w:snapToGrid w:val="0"/>
        <w:spacing w:line="600" w:lineRule="exact"/>
        <w:ind w:firstLine="640" w:firstLineChars="200"/>
        <w:rPr>
          <w:rFonts w:ascii="黑体" w:hAnsi="黑体" w:eastAsia="黑体" w:cs="黑体"/>
          <w:sz w:val="32"/>
          <w:szCs w:val="32"/>
        </w:rPr>
      </w:pPr>
      <w:r>
        <w:rPr>
          <w:rFonts w:ascii="黑体" w:hAnsi="黑体" w:eastAsia="黑体" w:cs="黑体"/>
          <w:sz w:val="32"/>
          <w:szCs w:val="32"/>
        </w:rPr>
        <w:t>8附件</w:t>
      </w:r>
    </w:p>
    <w:p>
      <w:pPr>
        <w:widowControl w:val="0"/>
        <w:snapToGrid w:val="0"/>
        <w:spacing w:line="600" w:lineRule="exact"/>
        <w:ind w:firstLine="630"/>
        <w:rPr>
          <w:rFonts w:ascii="Times New Roman" w:hAnsi="Times New Roman" w:eastAsia="仿宋_GB2312"/>
          <w:sz w:val="32"/>
          <w:szCs w:val="32"/>
        </w:rPr>
      </w:pPr>
      <w:r>
        <w:rPr>
          <w:rFonts w:hint="eastAsia" w:ascii="仿宋_GB2312" w:hAnsi="仿宋_GB2312" w:eastAsia="仿宋_GB2312" w:cs="仿宋_GB2312"/>
          <w:sz w:val="32"/>
          <w:szCs w:val="32"/>
        </w:rPr>
        <w:t>8.1泰山</w:t>
      </w:r>
      <w:r>
        <w:rPr>
          <w:rFonts w:ascii="Times New Roman" w:hAnsi="Times New Roman" w:eastAsia="仿宋_GB2312"/>
          <w:sz w:val="32"/>
          <w:szCs w:val="32"/>
        </w:rPr>
        <w:t>区房屋建筑和市政工程建设生产安全事故应急响应流程图</w:t>
      </w:r>
    </w:p>
    <w:p>
      <w:pPr>
        <w:widowControl w:val="0"/>
        <w:snapToGrid w:val="0"/>
        <w:spacing w:line="60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8.2泰山区房</w:t>
      </w:r>
      <w:r>
        <w:rPr>
          <w:rFonts w:ascii="Times New Roman" w:hAnsi="Times New Roman" w:eastAsia="仿宋_GB2312"/>
          <w:sz w:val="32"/>
          <w:szCs w:val="32"/>
        </w:rPr>
        <w:t>屋建筑和市政工程建设生产安全事故应急救援指挥部成员</w:t>
      </w:r>
      <w:r>
        <w:rPr>
          <w:rFonts w:hint="eastAsia" w:ascii="仿宋_GB2312" w:hAnsi="仿宋_GB2312" w:eastAsia="仿宋_GB2312" w:cs="仿宋_GB2312"/>
          <w:sz w:val="32"/>
          <w:szCs w:val="32"/>
        </w:rPr>
        <w:t>名单</w:t>
      </w:r>
    </w:p>
    <w:p>
      <w:pPr>
        <w:widowControl w:val="0"/>
        <w:snapToGrid w:val="0"/>
        <w:spacing w:line="600" w:lineRule="exact"/>
        <w:ind w:firstLine="630"/>
        <w:rPr>
          <w:rFonts w:ascii="Times New Roman" w:hAnsi="Times New Roman" w:eastAsia="仿宋_GB2312"/>
          <w:sz w:val="32"/>
          <w:szCs w:val="32"/>
        </w:rPr>
      </w:pPr>
      <w:r>
        <w:fldChar w:fldCharType="begin"/>
      </w:r>
      <w:r>
        <w:instrText xml:space="preserve"> HYPERLINK \l "_Toc11047" </w:instrText>
      </w:r>
      <w:r>
        <w:fldChar w:fldCharType="separate"/>
      </w:r>
      <w:r>
        <w:rPr>
          <w:rFonts w:ascii="仿宋_GB2312" w:hAnsi="仿宋_GB2312" w:eastAsia="仿宋_GB2312" w:cs="仿宋_GB2312"/>
          <w:sz w:val="32"/>
          <w:szCs w:val="32"/>
        </w:rPr>
        <w:t>8.3</w:t>
      </w:r>
      <w:r>
        <w:rPr>
          <w:rFonts w:ascii="Times New Roman" w:hAnsi="Times New Roman" w:eastAsia="仿宋_GB2312"/>
          <w:sz w:val="32"/>
          <w:szCs w:val="32"/>
        </w:rPr>
        <w:t>应急管理专家汇总表</w:t>
      </w:r>
      <w:r>
        <w:rPr>
          <w:rFonts w:ascii="Times New Roman" w:hAnsi="Times New Roman" w:eastAsia="仿宋_GB2312"/>
          <w:sz w:val="32"/>
          <w:szCs w:val="32"/>
        </w:rPr>
        <w:fldChar w:fldCharType="end"/>
      </w:r>
    </w:p>
    <w:p>
      <w:pPr>
        <w:widowControl w:val="0"/>
        <w:snapToGrid w:val="0"/>
        <w:spacing w:line="600" w:lineRule="exact"/>
        <w:ind w:firstLine="630"/>
        <w:rPr>
          <w:rFonts w:ascii="仿宋_GB2312" w:hAnsi="仿宋_GB2312" w:eastAsia="仿宋_GB2312" w:cs="仿宋_GB2312"/>
          <w:sz w:val="32"/>
          <w:szCs w:val="32"/>
        </w:rPr>
      </w:pPr>
      <w:r>
        <w:rPr>
          <w:rFonts w:ascii="仿宋_GB2312" w:hAnsi="仿宋_GB2312" w:eastAsia="仿宋_GB2312" w:cs="仿宋_GB2312"/>
          <w:sz w:val="32"/>
          <w:szCs w:val="32"/>
        </w:rPr>
        <w:t>8.4泰山区建筑施工重点企业应急救援后备队伍</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物资装备清单</w:t>
      </w:r>
    </w:p>
    <w:p>
      <w:pPr>
        <w:widowControl w:val="0"/>
        <w:snapToGrid w:val="0"/>
        <w:spacing w:line="600" w:lineRule="exact"/>
        <w:ind w:firstLine="630"/>
        <w:rPr>
          <w:rFonts w:ascii="Times New Roman" w:hAnsi="Times New Roman" w:eastAsia="仿宋_GB2312"/>
          <w:sz w:val="32"/>
          <w:szCs w:val="32"/>
        </w:rPr>
      </w:pPr>
      <w:r>
        <w:fldChar w:fldCharType="begin"/>
      </w:r>
      <w:r>
        <w:instrText xml:space="preserve"> HYPERLINK \l "_Toc11047" </w:instrText>
      </w:r>
      <w:r>
        <w:fldChar w:fldCharType="separate"/>
      </w:r>
      <w:r>
        <w:rPr>
          <w:rFonts w:ascii="仿宋_GB2312" w:hAnsi="仿宋_GB2312" w:eastAsia="仿宋_GB2312" w:cs="仿宋_GB2312"/>
          <w:sz w:val="32"/>
          <w:szCs w:val="32"/>
        </w:rPr>
        <w:t>8.5事故报告表</w:t>
      </w:r>
      <w:r>
        <w:rPr>
          <w:rFonts w:ascii="仿宋_GB2312" w:hAnsi="仿宋_GB2312" w:eastAsia="仿宋_GB2312" w:cs="仿宋_GB2312"/>
          <w:sz w:val="32"/>
          <w:szCs w:val="32"/>
        </w:rPr>
        <w:fldChar w:fldCharType="end"/>
      </w:r>
    </w:p>
    <w:p>
      <w:pPr>
        <w:widowControl w:val="0"/>
        <w:snapToGrid w:val="0"/>
        <w:spacing w:line="600" w:lineRule="exact"/>
        <w:ind w:firstLine="630"/>
        <w:rPr>
          <w:rFonts w:ascii="Times New Roman" w:hAnsi="Times New Roman" w:eastAsia="仿宋_GB2312"/>
          <w:sz w:val="32"/>
          <w:szCs w:val="32"/>
        </w:rPr>
      </w:pPr>
      <w:r>
        <w:fldChar w:fldCharType="begin"/>
      </w:r>
      <w:r>
        <w:instrText xml:space="preserve"> HYPERLINK \l "_Toc11047" </w:instrText>
      </w:r>
      <w:r>
        <w:fldChar w:fldCharType="separate"/>
      </w:r>
      <w:r>
        <w:rPr>
          <w:rFonts w:ascii="仿宋_GB2312" w:hAnsi="仿宋_GB2312" w:eastAsia="仿宋_GB2312" w:cs="仿宋_GB2312"/>
          <w:sz w:val="32"/>
          <w:szCs w:val="32"/>
        </w:rPr>
        <w:t>8.6应急预案启</w:t>
      </w:r>
      <w:r>
        <w:rPr>
          <w:rFonts w:ascii="Times New Roman" w:hAnsi="Times New Roman" w:eastAsia="仿宋_GB2312"/>
          <w:sz w:val="32"/>
          <w:szCs w:val="32"/>
        </w:rPr>
        <w:t>动响应令</w:t>
      </w:r>
      <w:r>
        <w:rPr>
          <w:rFonts w:ascii="Times New Roman" w:hAnsi="Times New Roman" w:eastAsia="仿宋_GB2312"/>
          <w:sz w:val="32"/>
          <w:szCs w:val="32"/>
        </w:rPr>
        <w:fldChar w:fldCharType="end"/>
      </w:r>
    </w:p>
    <w:p>
      <w:pPr>
        <w:widowControl w:val="0"/>
        <w:snapToGrid w:val="0"/>
        <w:spacing w:line="600" w:lineRule="exact"/>
        <w:ind w:firstLine="630"/>
        <w:rPr>
          <w:rFonts w:ascii="Times New Roman" w:hAnsi="Times New Roman" w:eastAsia="仿宋_GB2312"/>
          <w:sz w:val="32"/>
          <w:szCs w:val="32"/>
        </w:rPr>
      </w:pPr>
      <w:r>
        <w:fldChar w:fldCharType="begin"/>
      </w:r>
      <w:r>
        <w:instrText xml:space="preserve"> HYPERLINK \l "_Toc11047" </w:instrText>
      </w:r>
      <w:r>
        <w:fldChar w:fldCharType="separate"/>
      </w:r>
      <w:r>
        <w:rPr>
          <w:rFonts w:ascii="仿宋_GB2312" w:hAnsi="仿宋_GB2312" w:eastAsia="仿宋_GB2312" w:cs="仿宋_GB2312"/>
          <w:sz w:val="32"/>
          <w:szCs w:val="32"/>
        </w:rPr>
        <w:t>8.7</w:t>
      </w:r>
      <w:r>
        <w:rPr>
          <w:rFonts w:ascii="Times New Roman" w:hAnsi="Times New Roman" w:eastAsia="仿宋_GB2312"/>
          <w:sz w:val="32"/>
          <w:szCs w:val="32"/>
        </w:rPr>
        <w:t>应急预案响应终止令</w:t>
      </w:r>
      <w:r>
        <w:rPr>
          <w:rFonts w:ascii="Times New Roman" w:hAnsi="Times New Roman" w:eastAsia="仿宋_GB2312"/>
          <w:sz w:val="32"/>
          <w:szCs w:val="32"/>
        </w:rPr>
        <w:fldChar w:fldCharType="end"/>
      </w:r>
    </w:p>
    <w:p>
      <w:pPr>
        <w:widowControl w:val="0"/>
        <w:snapToGrid w:val="0"/>
        <w:spacing w:line="600" w:lineRule="exact"/>
        <w:ind w:firstLine="630"/>
        <w:rPr>
          <w:rFonts w:ascii="仿宋" w:hAnsi="仿宋" w:eastAsia="仿宋" w:cs="仿宋"/>
          <w:sz w:val="32"/>
          <w:szCs w:val="32"/>
        </w:rPr>
      </w:pPr>
      <w:r>
        <w:rPr>
          <w:rFonts w:ascii="仿宋_GB2312" w:hAnsi="仿宋_GB2312" w:eastAsia="仿宋_GB2312" w:cs="仿宋_GB2312"/>
          <w:sz w:val="32"/>
          <w:szCs w:val="32"/>
        </w:rPr>
        <w:fldChar w:fldCharType="begin"/>
      </w:r>
      <w:r>
        <w:rPr>
          <w:rFonts w:ascii="仿宋_GB2312" w:hAnsi="仿宋_GB2312" w:eastAsia="仿宋_GB2312" w:cs="仿宋_GB2312"/>
          <w:sz w:val="32"/>
          <w:szCs w:val="32"/>
        </w:rPr>
        <w:instrText xml:space="preserve"> HYPERLINK \l "_Toc11047" </w:instrText>
      </w:r>
      <w:r>
        <w:rPr>
          <w:rFonts w:ascii="仿宋_GB2312" w:hAnsi="仿宋_GB2312" w:eastAsia="仿宋_GB2312" w:cs="仿宋_GB2312"/>
          <w:sz w:val="32"/>
          <w:szCs w:val="32"/>
        </w:rPr>
        <w:fldChar w:fldCharType="separate"/>
      </w:r>
      <w:r>
        <w:rPr>
          <w:rFonts w:ascii="仿宋_GB2312" w:hAnsi="仿宋_GB2312" w:eastAsia="仿宋_GB2312" w:cs="仿宋_GB2312"/>
          <w:sz w:val="32"/>
          <w:szCs w:val="32"/>
        </w:rPr>
        <w:t>8.8应急预案评审意见表</w:t>
      </w:r>
      <w:r>
        <w:rPr>
          <w:rFonts w:ascii="仿宋_GB2312" w:hAnsi="仿宋_GB2312" w:eastAsia="仿宋_GB2312" w:cs="仿宋_GB2312"/>
          <w:sz w:val="32"/>
          <w:szCs w:val="32"/>
        </w:rPr>
        <w:fldChar w:fldCharType="end"/>
      </w:r>
    </w:p>
    <w:p>
      <w:pPr>
        <w:pStyle w:val="36"/>
        <w:sectPr>
          <w:footerReference r:id="rId3" w:type="default"/>
          <w:pgSz w:w="11906" w:h="16838"/>
          <w:pgMar w:top="1984" w:right="1531" w:bottom="1531" w:left="1531" w:header="1417" w:footer="1247" w:gutter="0"/>
          <w:pgNumType w:start="1"/>
          <w:cols w:space="0" w:num="1"/>
          <w:formProt w:val="0"/>
          <w:rtlGutter w:val="0"/>
          <w:docGrid w:type="lines" w:linePitch="321" w:charSpace="0"/>
        </w:sectPr>
      </w:pPr>
    </w:p>
    <w:p>
      <w:pPr>
        <w:pStyle w:val="36"/>
        <w:rPr>
          <w:rFonts w:hint="eastAsia" w:eastAsia="宋体"/>
          <w:lang w:eastAsia="zh-CN"/>
        </w:rPr>
        <w:sectPr>
          <w:footerReference r:id="rId4" w:type="default"/>
          <w:pgSz w:w="16838" w:h="11906" w:orient="landscape"/>
          <w:pgMar w:top="1304" w:right="1134" w:bottom="1134" w:left="1134" w:header="1417" w:footer="1247" w:gutter="0"/>
          <w:pgNumType w:fmt="decimal" w:start="13"/>
          <w:cols w:space="0" w:num="1"/>
          <w:formProt w:val="0"/>
          <w:rtlGutter w:val="0"/>
          <w:docGrid w:type="lines" w:linePitch="326" w:charSpace="0"/>
        </w:sectPr>
      </w:pPr>
      <w:r>
        <w:rPr>
          <w:rFonts w:hint="eastAsia" w:eastAsia="宋体"/>
          <w:lang w:eastAsia="zh-CN"/>
        </w:rPr>
        <w:drawing>
          <wp:inline distT="0" distB="0" distL="114300" distR="114300">
            <wp:extent cx="9133205" cy="5516880"/>
            <wp:effectExtent l="0" t="0" r="10795" b="7620"/>
            <wp:docPr id="3" name="图片 3" descr="文字文稿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文字文稿1_00(1)"/>
                    <pic:cNvPicPr>
                      <a:picLocks noChangeAspect="1"/>
                    </pic:cNvPicPr>
                  </pic:nvPicPr>
                  <pic:blipFill>
                    <a:blip r:embed="rId8"/>
                    <a:stretch>
                      <a:fillRect/>
                    </a:stretch>
                  </pic:blipFill>
                  <pic:spPr>
                    <a:xfrm>
                      <a:off x="0" y="0"/>
                      <a:ext cx="9133205" cy="5516880"/>
                    </a:xfrm>
                    <a:prstGeom prst="rect">
                      <a:avLst/>
                    </a:prstGeom>
                  </pic:spPr>
                </pic:pic>
              </a:graphicData>
            </a:graphic>
          </wp:inline>
        </w:drawing>
      </w:r>
    </w:p>
    <w:p>
      <w:pPr>
        <w:snapToGrid w:val="0"/>
        <w:spacing w:line="560" w:lineRule="exact"/>
        <w:jc w:val="center"/>
        <w:outlineLvl w:val="1"/>
        <w:rPr>
          <w:rFonts w:ascii="经典粗宋简" w:hAnsi="经典粗宋简" w:eastAsia="经典粗宋简" w:cs="经典粗宋简"/>
          <w:kern w:val="0"/>
          <w:sz w:val="40"/>
          <w:szCs w:val="40"/>
        </w:rPr>
      </w:pPr>
      <w:bookmarkStart w:id="0" w:name="_Toc21939"/>
      <w:r>
        <w:rPr>
          <w:rFonts w:hint="eastAsia" w:ascii="经典粗宋简" w:hAnsi="经典粗宋简" w:eastAsia="经典粗宋简" w:cs="经典粗宋简"/>
          <w:sz w:val="40"/>
          <w:szCs w:val="40"/>
        </w:rPr>
        <w:fldChar w:fldCharType="begin"/>
      </w:r>
      <w:r>
        <w:rPr>
          <w:rFonts w:hint="eastAsia" w:ascii="经典粗宋简" w:hAnsi="经典粗宋简" w:eastAsia="经典粗宋简" w:cs="经典粗宋简"/>
          <w:sz w:val="40"/>
          <w:szCs w:val="40"/>
        </w:rPr>
        <w:instrText xml:space="preserve"> HYPERLINK \l "_Toc11047" </w:instrText>
      </w:r>
      <w:r>
        <w:rPr>
          <w:rFonts w:hint="eastAsia" w:ascii="经典粗宋简" w:hAnsi="经典粗宋简" w:eastAsia="经典粗宋简" w:cs="经典粗宋简"/>
          <w:sz w:val="40"/>
          <w:szCs w:val="40"/>
        </w:rPr>
        <w:fldChar w:fldCharType="separate"/>
      </w:r>
      <w:r>
        <w:rPr>
          <w:rFonts w:hint="eastAsia" w:ascii="经典粗宋简" w:hAnsi="经典粗宋简" w:eastAsia="经典粗宋简" w:cs="经典粗宋简"/>
          <w:kern w:val="0"/>
          <w:sz w:val="40"/>
          <w:szCs w:val="40"/>
        </w:rPr>
        <w:t>8.2泰山区房屋建筑和市政工程建设生产安全事故</w:t>
      </w:r>
    </w:p>
    <w:p>
      <w:pPr>
        <w:snapToGrid w:val="0"/>
        <w:spacing w:line="560" w:lineRule="exact"/>
        <w:jc w:val="center"/>
        <w:outlineLvl w:val="1"/>
        <w:rPr>
          <w:rFonts w:ascii="经典粗宋简" w:hAnsi="经典粗宋简" w:eastAsia="经典粗宋简" w:cs="经典粗宋简"/>
          <w:spacing w:val="-6"/>
          <w:sz w:val="40"/>
          <w:szCs w:val="40"/>
        </w:rPr>
      </w:pPr>
      <w:r>
        <w:rPr>
          <w:rFonts w:hint="eastAsia" w:ascii="经典粗宋简" w:hAnsi="经典粗宋简" w:eastAsia="经典粗宋简" w:cs="经典粗宋简"/>
          <w:kern w:val="0"/>
          <w:sz w:val="40"/>
          <w:szCs w:val="40"/>
        </w:rPr>
        <w:t>应急救援指挥部成员名单</w:t>
      </w:r>
      <w:r>
        <w:rPr>
          <w:rFonts w:hint="eastAsia" w:ascii="经典粗宋简" w:hAnsi="经典粗宋简" w:eastAsia="经典粗宋简" w:cs="经典粗宋简"/>
          <w:kern w:val="0"/>
          <w:sz w:val="40"/>
          <w:szCs w:val="40"/>
        </w:rPr>
        <w:fldChar w:fldCharType="end"/>
      </w:r>
    </w:p>
    <w:p/>
    <w:tbl>
      <w:tblPr>
        <w:tblStyle w:val="14"/>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650"/>
        <w:gridCol w:w="1406"/>
        <w:gridCol w:w="50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320" w:lineRule="exact"/>
              <w:jc w:val="center"/>
              <w:rPr>
                <w:rFonts w:ascii="黑体" w:hAnsi="黑体" w:eastAsia="黑体" w:cs="黑体"/>
                <w:bCs/>
                <w:sz w:val="28"/>
                <w:szCs w:val="28"/>
              </w:rPr>
            </w:pPr>
            <w:r>
              <w:rPr>
                <w:rFonts w:hint="eastAsia" w:ascii="黑体" w:hAnsi="黑体" w:eastAsia="黑体" w:cs="黑体"/>
                <w:bCs/>
                <w:sz w:val="28"/>
                <w:szCs w:val="28"/>
              </w:rPr>
              <w:t>序号</w:t>
            </w:r>
          </w:p>
        </w:tc>
        <w:tc>
          <w:tcPr>
            <w:tcW w:w="1650" w:type="dxa"/>
            <w:tcBorders>
              <w:tl2br w:val="nil"/>
              <w:tr2bl w:val="nil"/>
            </w:tcBorders>
            <w:vAlign w:val="center"/>
          </w:tcPr>
          <w:p>
            <w:pPr>
              <w:pStyle w:val="4"/>
              <w:spacing w:before="0" w:beforeAutospacing="0" w:after="0" w:afterAutospacing="0" w:line="400" w:lineRule="exact"/>
              <w:jc w:val="center"/>
              <w:rPr>
                <w:rFonts w:ascii="黑体" w:hAnsi="黑体" w:eastAsia="黑体" w:cs="黑体"/>
                <w:bCs/>
                <w:sz w:val="28"/>
                <w:szCs w:val="28"/>
              </w:rPr>
            </w:pPr>
            <w:r>
              <w:rPr>
                <w:rFonts w:hint="eastAsia" w:ascii="黑体" w:hAnsi="黑体" w:eastAsia="黑体" w:cs="黑体"/>
                <w:bCs/>
                <w:sz w:val="28"/>
                <w:szCs w:val="28"/>
              </w:rPr>
              <w:t>应急救援</w:t>
            </w:r>
          </w:p>
          <w:p>
            <w:pPr>
              <w:pStyle w:val="4"/>
              <w:spacing w:before="0" w:beforeAutospacing="0" w:after="0" w:afterAutospacing="0" w:line="400" w:lineRule="exact"/>
              <w:jc w:val="center"/>
              <w:rPr>
                <w:rFonts w:ascii="黑体" w:hAnsi="黑体" w:eastAsia="黑体" w:cs="黑体"/>
                <w:bCs/>
                <w:sz w:val="28"/>
                <w:szCs w:val="28"/>
              </w:rPr>
            </w:pPr>
            <w:r>
              <w:rPr>
                <w:rFonts w:hint="eastAsia" w:ascii="黑体" w:hAnsi="黑体" w:eastAsia="黑体" w:cs="黑体"/>
                <w:bCs/>
                <w:sz w:val="28"/>
                <w:szCs w:val="28"/>
              </w:rPr>
              <w:t>指挥部</w:t>
            </w:r>
          </w:p>
        </w:tc>
        <w:tc>
          <w:tcPr>
            <w:tcW w:w="1406" w:type="dxa"/>
            <w:tcBorders>
              <w:tl2br w:val="nil"/>
              <w:tr2bl w:val="nil"/>
            </w:tcBorders>
            <w:vAlign w:val="center"/>
          </w:tcPr>
          <w:p>
            <w:pPr>
              <w:pStyle w:val="4"/>
              <w:spacing w:line="320" w:lineRule="exact"/>
              <w:jc w:val="center"/>
              <w:rPr>
                <w:rFonts w:ascii="黑体" w:hAnsi="黑体" w:eastAsia="黑体" w:cs="黑体"/>
                <w:bCs/>
                <w:sz w:val="28"/>
                <w:szCs w:val="28"/>
              </w:rPr>
            </w:pPr>
            <w:r>
              <w:rPr>
                <w:rFonts w:hint="eastAsia" w:ascii="黑体" w:hAnsi="黑体" w:eastAsia="黑体" w:cs="黑体"/>
                <w:bCs/>
                <w:sz w:val="28"/>
                <w:szCs w:val="28"/>
              </w:rPr>
              <w:t>姓  名</w:t>
            </w:r>
          </w:p>
        </w:tc>
        <w:tc>
          <w:tcPr>
            <w:tcW w:w="5070" w:type="dxa"/>
            <w:tcBorders>
              <w:tl2br w:val="nil"/>
              <w:tr2bl w:val="nil"/>
            </w:tcBorders>
            <w:vAlign w:val="center"/>
          </w:tcPr>
          <w:p>
            <w:pPr>
              <w:pStyle w:val="4"/>
              <w:spacing w:line="320" w:lineRule="exact"/>
              <w:jc w:val="center"/>
              <w:rPr>
                <w:rFonts w:ascii="黑体" w:hAnsi="黑体" w:eastAsia="黑体" w:cs="黑体"/>
                <w:bCs/>
                <w:sz w:val="28"/>
                <w:szCs w:val="28"/>
              </w:rPr>
            </w:pPr>
            <w:r>
              <w:rPr>
                <w:rFonts w:hint="eastAsia" w:ascii="黑体" w:hAnsi="黑体" w:eastAsia="黑体" w:cs="黑体"/>
                <w:bCs/>
                <w:sz w:val="28"/>
                <w:szCs w:val="28"/>
              </w:rPr>
              <w:t>单    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65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总指挥</w:t>
            </w: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房宝玉</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650" w:type="dxa"/>
            <w:vMerge w:val="restart"/>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副指挥</w:t>
            </w: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吴广庆</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区住建局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姜  剑</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财源街道办事处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徐  刚</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岱庙街道办事处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刘  魁</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泰前街道办事处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张  永</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上高街道办事处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张  鹏</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徐家楼街道办事处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季秀华</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省庄镇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马少亮</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邱家店镇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朱京超</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泰山经济开发区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陈  亚</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泰安农高区管委会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650" w:type="dxa"/>
            <w:vMerge w:val="restart"/>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成员</w:t>
            </w: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耿  超</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区委宣传部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kern w:val="2"/>
                <w:sz w:val="28"/>
                <w:szCs w:val="28"/>
              </w:rPr>
            </w:pPr>
            <w:r>
              <w:rPr>
                <w:rFonts w:ascii="Times New Roman" w:hAnsi="Times New Roman" w:eastAsia="仿宋_GB2312"/>
                <w:sz w:val="28"/>
                <w:szCs w:val="28"/>
              </w:rPr>
              <w:t>刘  琦</w:t>
            </w:r>
          </w:p>
        </w:tc>
        <w:tc>
          <w:tcPr>
            <w:tcW w:w="5070" w:type="dxa"/>
            <w:tcBorders>
              <w:tl2br w:val="nil"/>
              <w:tr2bl w:val="nil"/>
            </w:tcBorders>
            <w:vAlign w:val="center"/>
          </w:tcPr>
          <w:p>
            <w:pPr>
              <w:pStyle w:val="4"/>
              <w:spacing w:line="520" w:lineRule="exact"/>
              <w:jc w:val="center"/>
              <w:rPr>
                <w:rFonts w:ascii="Times New Roman" w:hAnsi="Times New Roman" w:eastAsia="仿宋_GB2312"/>
                <w:kern w:val="2"/>
                <w:sz w:val="28"/>
                <w:szCs w:val="28"/>
              </w:rPr>
            </w:pPr>
            <w:r>
              <w:rPr>
                <w:rFonts w:ascii="Times New Roman" w:hAnsi="Times New Roman" w:eastAsia="仿宋_GB2312"/>
                <w:sz w:val="28"/>
                <w:szCs w:val="28"/>
              </w:rPr>
              <w:t>区人力资源和社会保障局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张广华</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区民政局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侯  栋</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区卫生健康局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高学伟</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区应急管理局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刘国全</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区总工会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赵  衡</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市公安局泰山分局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tcBorders>
              <w:tl2br w:val="nil"/>
              <w:tr2bl w:val="nil"/>
            </w:tcBorders>
            <w:vAlign w:val="center"/>
          </w:tcPr>
          <w:p>
            <w:pPr>
              <w:pStyle w:val="4"/>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650" w:type="dxa"/>
            <w:vMerge w:val="continue"/>
            <w:tcBorders>
              <w:tl2br w:val="nil"/>
              <w:tr2bl w:val="nil"/>
            </w:tcBorders>
            <w:vAlign w:val="center"/>
          </w:tcPr>
          <w:p>
            <w:pPr>
              <w:pStyle w:val="4"/>
              <w:spacing w:line="520" w:lineRule="exact"/>
              <w:jc w:val="center"/>
              <w:rPr>
                <w:rFonts w:ascii="Times New Roman" w:hAnsi="Times New Roman" w:eastAsia="仿宋_GB2312"/>
                <w:sz w:val="28"/>
                <w:szCs w:val="28"/>
              </w:rPr>
            </w:pPr>
          </w:p>
        </w:tc>
        <w:tc>
          <w:tcPr>
            <w:tcW w:w="1406"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路  哲</w:t>
            </w:r>
          </w:p>
        </w:tc>
        <w:tc>
          <w:tcPr>
            <w:tcW w:w="5070" w:type="dxa"/>
            <w:tcBorders>
              <w:tl2br w:val="nil"/>
              <w:tr2bl w:val="nil"/>
            </w:tcBorders>
            <w:vAlign w:val="center"/>
          </w:tcPr>
          <w:p>
            <w:pPr>
              <w:pStyle w:val="4"/>
              <w:spacing w:line="520" w:lineRule="exact"/>
              <w:jc w:val="center"/>
              <w:rPr>
                <w:rFonts w:ascii="Times New Roman" w:hAnsi="Times New Roman" w:eastAsia="仿宋_GB2312"/>
                <w:sz w:val="28"/>
                <w:szCs w:val="28"/>
              </w:rPr>
            </w:pPr>
            <w:r>
              <w:rPr>
                <w:rFonts w:ascii="Times New Roman" w:hAnsi="Times New Roman" w:eastAsia="仿宋_GB2312"/>
                <w:sz w:val="28"/>
                <w:szCs w:val="28"/>
              </w:rPr>
              <w:t>区消防救援大队</w:t>
            </w:r>
          </w:p>
        </w:tc>
      </w:tr>
    </w:tbl>
    <w:p>
      <w:pPr>
        <w:pStyle w:val="4"/>
        <w:rPr>
          <w:rFonts w:ascii="Times New Roman" w:hAnsi="Times New Roman"/>
          <w:sz w:val="32"/>
          <w:szCs w:val="32"/>
        </w:rPr>
      </w:pPr>
    </w:p>
    <w:p>
      <w:pPr>
        <w:snapToGrid w:val="0"/>
        <w:spacing w:line="560" w:lineRule="exact"/>
        <w:jc w:val="center"/>
        <w:outlineLvl w:val="1"/>
        <w:rPr>
          <w:rFonts w:ascii="经典粗宋简" w:hAnsi="经典粗宋简" w:eastAsia="经典粗宋简" w:cs="经典粗宋简"/>
          <w:kern w:val="0"/>
          <w:sz w:val="44"/>
          <w:szCs w:val="44"/>
        </w:rPr>
      </w:pPr>
      <w:r>
        <w:fldChar w:fldCharType="begin"/>
      </w:r>
      <w:r>
        <w:instrText xml:space="preserve"> HYPERLINK \l "_Toc11047" </w:instrText>
      </w:r>
      <w:r>
        <w:fldChar w:fldCharType="separate"/>
      </w:r>
      <w:r>
        <w:rPr>
          <w:rFonts w:hint="eastAsia" w:ascii="经典粗宋简" w:hAnsi="经典粗宋简" w:eastAsia="经典粗宋简" w:cs="经典粗宋简"/>
          <w:kern w:val="0"/>
          <w:sz w:val="44"/>
          <w:szCs w:val="44"/>
        </w:rPr>
        <w:t>8.3应急管理专家汇总表</w:t>
      </w:r>
      <w:r>
        <w:rPr>
          <w:rFonts w:hint="eastAsia" w:ascii="经典粗宋简" w:hAnsi="经典粗宋简" w:eastAsia="经典粗宋简" w:cs="经典粗宋简"/>
          <w:kern w:val="0"/>
          <w:sz w:val="44"/>
          <w:szCs w:val="44"/>
        </w:rPr>
        <w:fldChar w:fldCharType="end"/>
      </w:r>
    </w:p>
    <w:p>
      <w:pPr>
        <w:snapToGrid w:val="0"/>
        <w:spacing w:line="560" w:lineRule="exact"/>
        <w:outlineLvl w:val="1"/>
        <w:rPr>
          <w:rFonts w:ascii="Times New Roman" w:hAnsi="Times New Roman"/>
          <w:b/>
          <w:kern w:val="0"/>
          <w:sz w:val="32"/>
          <w:szCs w:val="32"/>
        </w:rPr>
      </w:pPr>
    </w:p>
    <w:tbl>
      <w:tblPr>
        <w:tblStyle w:val="14"/>
        <w:tblW w:w="89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93"/>
        <w:gridCol w:w="1397"/>
        <w:gridCol w:w="4219"/>
        <w:gridCol w:w="1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序号</w:t>
            </w:r>
          </w:p>
        </w:tc>
        <w:tc>
          <w:tcPr>
            <w:tcW w:w="1393"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行 业</w:t>
            </w:r>
          </w:p>
        </w:tc>
        <w:tc>
          <w:tcPr>
            <w:tcW w:w="1397"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姓 名</w:t>
            </w:r>
          </w:p>
        </w:tc>
        <w:tc>
          <w:tcPr>
            <w:tcW w:w="4219"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单    位</w:t>
            </w:r>
          </w:p>
        </w:tc>
        <w:tc>
          <w:tcPr>
            <w:tcW w:w="1111"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于  潜</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孙丽玢</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杨丽霞</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邓兴刚</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扈平国</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张桂芝</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赵子峰</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特种设备</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陈  娜</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山东泰安建筑工程集团有限公司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马  亮</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赵善民</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吴树青</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王桂玲</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王  楠</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杨  利</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张  云</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翟广鑫</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山东泰山普惠建工有限公司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米  峰</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泰安宏大建设工程有限公司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宋洪宝</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泰安宏大建设工程有限公司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bl>
    <w:p>
      <w:pPr>
        <w:pStyle w:val="4"/>
        <w:spacing w:before="0" w:beforeAutospacing="0" w:after="0" w:afterAutospacing="0"/>
        <w:jc w:val="center"/>
        <w:rPr>
          <w:rFonts w:hint="eastAsia" w:ascii="黑体" w:hAnsi="黑体" w:eastAsia="黑体" w:cs="黑体"/>
          <w:bCs/>
          <w:sz w:val="28"/>
          <w:szCs w:val="28"/>
        </w:rPr>
      </w:pPr>
      <w:r>
        <w:rPr>
          <w:rFonts w:hint="eastAsia" w:ascii="黑体" w:hAnsi="黑体" w:eastAsia="黑体" w:cs="黑体"/>
          <w:bCs/>
          <w:sz w:val="28"/>
          <w:szCs w:val="28"/>
        </w:rPr>
        <w:br w:type="page"/>
      </w:r>
    </w:p>
    <w:p>
      <w:pPr>
        <w:pStyle w:val="4"/>
        <w:spacing w:before="0" w:beforeAutospacing="0" w:after="0" w:afterAutospacing="0"/>
        <w:jc w:val="center"/>
        <w:rPr>
          <w:rFonts w:hint="eastAsia" w:ascii="黑体" w:hAnsi="黑体" w:eastAsia="黑体" w:cs="黑体"/>
          <w:bCs/>
          <w:sz w:val="28"/>
          <w:szCs w:val="28"/>
        </w:rPr>
      </w:pPr>
    </w:p>
    <w:tbl>
      <w:tblPr>
        <w:tblStyle w:val="14"/>
        <w:tblW w:w="89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93"/>
        <w:gridCol w:w="1397"/>
        <w:gridCol w:w="4219"/>
        <w:gridCol w:w="11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68"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序号</w:t>
            </w:r>
          </w:p>
        </w:tc>
        <w:tc>
          <w:tcPr>
            <w:tcW w:w="1393"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行 业</w:t>
            </w:r>
          </w:p>
        </w:tc>
        <w:tc>
          <w:tcPr>
            <w:tcW w:w="1397"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姓 名</w:t>
            </w:r>
          </w:p>
        </w:tc>
        <w:tc>
          <w:tcPr>
            <w:tcW w:w="4219"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单    位</w:t>
            </w:r>
          </w:p>
        </w:tc>
        <w:tc>
          <w:tcPr>
            <w:tcW w:w="1111" w:type="dxa"/>
            <w:tcBorders>
              <w:tl2br w:val="nil"/>
              <w:tr2bl w:val="nil"/>
            </w:tcBorders>
          </w:tcPr>
          <w:p>
            <w:pPr>
              <w:pStyle w:val="4"/>
              <w:spacing w:before="0" w:beforeAutospacing="0" w:after="0" w:afterAutospacing="0"/>
              <w:jc w:val="center"/>
              <w:rPr>
                <w:rFonts w:ascii="黑体" w:hAnsi="黑体" w:eastAsia="黑体" w:cs="黑体"/>
                <w:bCs/>
                <w:sz w:val="28"/>
                <w:szCs w:val="28"/>
              </w:rPr>
            </w:pPr>
            <w:r>
              <w:rPr>
                <w:rFonts w:hint="eastAsia" w:ascii="黑体" w:hAnsi="黑体" w:eastAsia="黑体" w:cs="黑体"/>
                <w:bCs/>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19</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芦  刚</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泰安宏大建设工程有限公司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vAlign w:val="center"/>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张  涛</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泰安宏大建设工程有限公司</w:t>
            </w:r>
          </w:p>
        </w:tc>
        <w:tc>
          <w:tcPr>
            <w:tcW w:w="1111"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21</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赵  冰</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泰安宏大建设工程有限公司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22</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郭修亭</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山东广厦建设集团有限公司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23</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高培建</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山东广厦建设集团有限公司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24</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尹  超</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山东广厦建设集团有限公司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25</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商昌探</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山东广厦建设集团有限公司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26</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李  程</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山东广厦建设集团有限公司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27</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张  建</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山东一建建设有限公司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28</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秦红建</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山东一建建设有限公司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29</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张宪伟</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山东一建建设有限公司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陈  鹏</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山东一建建设有限公司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68" w:type="dxa"/>
            <w:tcBorders>
              <w:tl2br w:val="nil"/>
              <w:tr2bl w:val="nil"/>
            </w:tcBorders>
          </w:tcPr>
          <w:p>
            <w:pPr>
              <w:pStyle w:val="4"/>
              <w:spacing w:before="0" w:beforeAutospacing="0" w:after="0" w:afterAutospacing="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31</w:t>
            </w:r>
          </w:p>
        </w:tc>
        <w:tc>
          <w:tcPr>
            <w:tcW w:w="1393"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建设工程</w:t>
            </w:r>
          </w:p>
        </w:tc>
        <w:tc>
          <w:tcPr>
            <w:tcW w:w="1397"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李  金</w:t>
            </w:r>
          </w:p>
        </w:tc>
        <w:tc>
          <w:tcPr>
            <w:tcW w:w="4219" w:type="dxa"/>
            <w:tcBorders>
              <w:tl2br w:val="nil"/>
              <w:tr2bl w:val="nil"/>
            </w:tcBorders>
            <w:vAlign w:val="center"/>
          </w:tcPr>
          <w:p>
            <w:pPr>
              <w:pStyle w:val="4"/>
              <w:spacing w:before="0" w:beforeAutospacing="0" w:after="0" w:afterAutospacing="0"/>
              <w:jc w:val="center"/>
              <w:rPr>
                <w:rFonts w:ascii="Times New Roman" w:hAnsi="Times New Roman" w:eastAsia="仿宋_GB2312"/>
                <w:sz w:val="28"/>
                <w:szCs w:val="28"/>
              </w:rPr>
            </w:pPr>
            <w:r>
              <w:rPr>
                <w:rFonts w:ascii="Times New Roman" w:hAnsi="Times New Roman" w:eastAsia="仿宋_GB2312"/>
                <w:sz w:val="28"/>
                <w:szCs w:val="28"/>
              </w:rPr>
              <w:t>山东一建建设有限公司</w:t>
            </w:r>
          </w:p>
        </w:tc>
        <w:tc>
          <w:tcPr>
            <w:tcW w:w="1111" w:type="dxa"/>
            <w:tcBorders>
              <w:tl2br w:val="nil"/>
              <w:tr2bl w:val="nil"/>
            </w:tcBorders>
          </w:tcPr>
          <w:p>
            <w:pPr>
              <w:pStyle w:val="4"/>
              <w:spacing w:before="0" w:beforeAutospacing="0" w:after="0" w:afterAutospacing="0"/>
              <w:jc w:val="center"/>
              <w:rPr>
                <w:rFonts w:ascii="Times New Roman" w:hAnsi="Times New Roman" w:eastAsia="仿宋_GB2312"/>
                <w:sz w:val="28"/>
                <w:szCs w:val="28"/>
              </w:rPr>
            </w:pPr>
          </w:p>
        </w:tc>
      </w:tr>
    </w:tbl>
    <w:p>
      <w:pPr>
        <w:snapToGrid w:val="0"/>
        <w:spacing w:line="560" w:lineRule="exact"/>
        <w:outlineLvl w:val="1"/>
        <w:rPr>
          <w:rFonts w:ascii="Times New Roman" w:hAnsi="Times New Roman"/>
          <w:b/>
          <w:kern w:val="0"/>
          <w:sz w:val="32"/>
          <w:szCs w:val="32"/>
        </w:rPr>
      </w:pPr>
    </w:p>
    <w:p>
      <w:pPr>
        <w:pStyle w:val="4"/>
        <w:rPr>
          <w:rFonts w:ascii="Times New Roman" w:hAnsi="Times New Roman"/>
        </w:rPr>
      </w:pPr>
    </w:p>
    <w:p>
      <w:pPr>
        <w:pStyle w:val="4"/>
        <w:rPr>
          <w:rFonts w:ascii="Times New Roman" w:hAnsi="Times New Roman"/>
        </w:rPr>
      </w:pPr>
    </w:p>
    <w:bookmarkEnd w:id="0"/>
    <w:p>
      <w:pPr>
        <w:snapToGrid w:val="0"/>
        <w:jc w:val="center"/>
        <w:outlineLvl w:val="1"/>
        <w:rPr>
          <w:rFonts w:ascii="经典粗宋简" w:hAnsi="经典粗宋简" w:eastAsia="经典粗宋简" w:cs="经典粗宋简"/>
          <w:bCs/>
          <w:spacing w:val="-8"/>
          <w:kern w:val="0"/>
          <w:sz w:val="44"/>
          <w:szCs w:val="44"/>
        </w:rPr>
      </w:pPr>
      <w:r>
        <w:rPr>
          <w:rFonts w:hint="eastAsia" w:ascii="经典粗宋简" w:hAnsi="经典粗宋简" w:eastAsia="经典粗宋简" w:cs="经典粗宋简"/>
          <w:bCs/>
          <w:kern w:val="0"/>
          <w:sz w:val="44"/>
          <w:szCs w:val="44"/>
        </w:rPr>
        <w:t xml:space="preserve">8.4 </w:t>
      </w:r>
      <w:r>
        <w:rPr>
          <w:rFonts w:hint="eastAsia" w:ascii="经典粗宋简" w:hAnsi="经典粗宋简" w:eastAsia="经典粗宋简" w:cs="经典粗宋简"/>
          <w:bCs/>
          <w:spacing w:val="-8"/>
          <w:kern w:val="0"/>
          <w:sz w:val="44"/>
          <w:szCs w:val="44"/>
        </w:rPr>
        <w:t>泰山区建筑施工重点企业</w:t>
      </w:r>
    </w:p>
    <w:p>
      <w:pPr>
        <w:snapToGrid w:val="0"/>
        <w:jc w:val="center"/>
        <w:outlineLvl w:val="1"/>
        <w:rPr>
          <w:rFonts w:hint="eastAsia" w:ascii="经典粗宋简" w:hAnsi="经典粗宋简" w:eastAsia="经典粗宋简" w:cs="经典粗宋简"/>
          <w:bCs/>
          <w:spacing w:val="-8"/>
          <w:kern w:val="0"/>
          <w:sz w:val="44"/>
          <w:szCs w:val="44"/>
        </w:rPr>
      </w:pPr>
      <w:r>
        <w:rPr>
          <w:rFonts w:hint="eastAsia" w:ascii="经典粗宋简" w:hAnsi="经典粗宋简" w:eastAsia="经典粗宋简" w:cs="经典粗宋简"/>
          <w:bCs/>
          <w:spacing w:val="-8"/>
          <w:kern w:val="0"/>
          <w:sz w:val="44"/>
          <w:szCs w:val="44"/>
        </w:rPr>
        <w:t>应急救援后备队伍及物资装备清单</w:t>
      </w:r>
    </w:p>
    <w:p>
      <w:pPr>
        <w:adjustRightInd w:val="0"/>
        <w:snapToGrid w:val="0"/>
        <w:spacing w:line="480" w:lineRule="exact"/>
        <w:ind w:firstLine="640" w:firstLineChars="200"/>
        <w:jc w:val="left"/>
        <w:rPr>
          <w:rFonts w:ascii="Times New Roman" w:hAnsi="Times New Roman" w:eastAsia="仿宋_GB2312"/>
          <w:color w:val="000000"/>
          <w:sz w:val="32"/>
          <w:szCs w:val="32"/>
        </w:rPr>
      </w:pPr>
    </w:p>
    <w:p>
      <w:pPr>
        <w:adjustRightInd w:val="0"/>
        <w:snapToGrid w:val="0"/>
        <w:spacing w:line="480" w:lineRule="exact"/>
        <w:ind w:firstLine="640" w:firstLineChars="200"/>
        <w:jc w:val="left"/>
        <w:rPr>
          <w:rFonts w:ascii="Times New Roman" w:hAnsi="Times New Roman" w:eastAsia="仿宋_GB2312"/>
          <w:color w:val="000000"/>
          <w:sz w:val="32"/>
          <w:szCs w:val="32"/>
        </w:rPr>
      </w:pPr>
      <w:r>
        <w:rPr>
          <w:rFonts w:ascii="Times New Roman" w:hAnsi="Times New Roman" w:eastAsia="仿宋_GB2312"/>
          <w:color w:val="000000"/>
          <w:sz w:val="32"/>
          <w:szCs w:val="32"/>
        </w:rPr>
        <w:t>按照社会参与、资源共享的原则，泰山区建筑工程防汛应急救援队伍和物资储备由我区重点骨干企业参与，重点骨干企业名单如下：</w:t>
      </w:r>
    </w:p>
    <w:p>
      <w:pPr>
        <w:pStyle w:val="11"/>
        <w:adjustRightInd w:val="0"/>
        <w:snapToGrid w:val="0"/>
        <w:spacing w:before="0" w:beforeAutospacing="0" w:after="0" w:afterAutospacing="0" w:line="480" w:lineRule="exact"/>
        <w:ind w:firstLine="640" w:firstLineChars="200"/>
        <w:rPr>
          <w:rFonts w:hint="eastAsia"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1）山东泰安建筑工程集团有限公司</w:t>
      </w:r>
    </w:p>
    <w:p>
      <w:pPr>
        <w:pStyle w:val="11"/>
        <w:adjustRightInd w:val="0"/>
        <w:snapToGrid w:val="0"/>
        <w:spacing w:before="0" w:beforeAutospacing="0" w:after="0" w:afterAutospacing="0" w:line="4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（2）山东泰山普惠建工有限公司</w:t>
      </w:r>
    </w:p>
    <w:p>
      <w:pPr>
        <w:pStyle w:val="11"/>
        <w:adjustRightInd w:val="0"/>
        <w:snapToGrid w:val="0"/>
        <w:spacing w:before="0" w:beforeAutospacing="0" w:after="0" w:afterAutospacing="0" w:line="48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具体应急救援队伍人员及物资装备如下：</w:t>
      </w:r>
    </w:p>
    <w:p>
      <w:pPr>
        <w:pStyle w:val="11"/>
        <w:adjustRightInd w:val="0"/>
        <w:snapToGrid w:val="0"/>
        <w:spacing w:before="0" w:beforeAutospacing="0" w:after="0" w:afterAutospacing="0" w:line="480" w:lineRule="exact"/>
        <w:ind w:firstLine="640"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（1）</w:t>
      </w:r>
      <w:r>
        <w:rPr>
          <w:rFonts w:ascii="Times New Roman" w:hAnsi="Times New Roman" w:eastAsia="仿宋_GB2312" w:cs="Times New Roman"/>
          <w:color w:val="000000"/>
          <w:sz w:val="32"/>
          <w:szCs w:val="32"/>
        </w:rPr>
        <w:t>山东泰安建筑工程集团有限公司急救援队伍及物资装备清单。（联络员：冯哲军，手机</w:t>
      </w:r>
      <w:r>
        <w:rPr>
          <w:rFonts w:hint="eastAsia" w:ascii="仿宋_GB2312" w:hAnsi="仿宋_GB2312" w:eastAsia="仿宋_GB2312" w:cs="仿宋_GB2312"/>
          <w:color w:val="000000"/>
          <w:sz w:val="32"/>
          <w:szCs w:val="32"/>
        </w:rPr>
        <w:t>：13954888215）</w:t>
      </w:r>
    </w:p>
    <w:tbl>
      <w:tblPr>
        <w:tblStyle w:val="14"/>
        <w:tblpPr w:leftFromText="180" w:rightFromText="180" w:vertAnchor="text" w:horzAnchor="page" w:tblpXSpec="center" w:tblpY="386"/>
        <w:tblOverlap w:val="never"/>
        <w:tblW w:w="85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80"/>
        <w:gridCol w:w="60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黑体" w:hAnsi="黑体" w:eastAsia="黑体" w:cs="黑体"/>
                <w:bCs/>
                <w:sz w:val="26"/>
                <w:szCs w:val="26"/>
              </w:rPr>
            </w:pPr>
            <w:r>
              <w:rPr>
                <w:rFonts w:hint="eastAsia" w:ascii="黑体" w:hAnsi="黑体" w:eastAsia="黑体" w:cs="黑体"/>
                <w:bCs/>
                <w:sz w:val="26"/>
                <w:szCs w:val="26"/>
              </w:rPr>
              <w:t>姓   名</w:t>
            </w:r>
          </w:p>
        </w:tc>
        <w:tc>
          <w:tcPr>
            <w:tcW w:w="6099" w:type="dxa"/>
            <w:tcBorders>
              <w:tl2br w:val="nil"/>
              <w:tr2bl w:val="nil"/>
            </w:tcBorders>
            <w:vAlign w:val="center"/>
          </w:tcPr>
          <w:p>
            <w:pPr>
              <w:spacing w:line="400" w:lineRule="exact"/>
              <w:jc w:val="center"/>
              <w:rPr>
                <w:rFonts w:ascii="黑体" w:hAnsi="黑体" w:eastAsia="黑体" w:cs="黑体"/>
                <w:bCs/>
                <w:sz w:val="26"/>
                <w:szCs w:val="26"/>
              </w:rPr>
            </w:pPr>
            <w:r>
              <w:rPr>
                <w:rFonts w:hint="eastAsia" w:ascii="黑体" w:hAnsi="黑体" w:eastAsia="黑体" w:cs="黑体"/>
                <w:bCs/>
                <w:sz w:val="26"/>
                <w:szCs w:val="26"/>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亓玉政</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董事长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张  伟</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总经理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于  潜</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常务副总经理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李学东</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副总经理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刘晓麟</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副总经理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孙丽玢</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安全总监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倪  强</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总工程师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冯哲军</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办公室主任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邓立勇</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物业管理部经理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刘宝明</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人力资源部经理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吴  宾</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租赁公司经理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80"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张  博</w:t>
            </w:r>
          </w:p>
        </w:tc>
        <w:tc>
          <w:tcPr>
            <w:tcW w:w="6099" w:type="dxa"/>
            <w:tcBorders>
              <w:tl2br w:val="nil"/>
              <w:tr2bl w:val="nil"/>
            </w:tcBorders>
            <w:vAlign w:val="center"/>
          </w:tcPr>
          <w:p>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职工医院院长</w:t>
            </w:r>
          </w:p>
        </w:tc>
      </w:tr>
    </w:tbl>
    <w:p>
      <w:pPr>
        <w:pStyle w:val="11"/>
        <w:adjustRightInd w:val="0"/>
        <w:snapToGrid w:val="0"/>
        <w:spacing w:before="0" w:beforeAutospacing="0" w:after="0" w:afterAutospacing="0" w:line="300" w:lineRule="exact"/>
        <w:ind w:firstLine="646"/>
        <w:rPr>
          <w:rFonts w:ascii="Times New Roman" w:hAnsi="Times New Roman" w:eastAsia="仿宋_GB2312" w:cs="Times New Roman"/>
          <w:color w:val="000000"/>
        </w:rPr>
      </w:pPr>
    </w:p>
    <w:tbl>
      <w:tblPr>
        <w:tblStyle w:val="14"/>
        <w:tblpPr w:leftFromText="180" w:rightFromText="180" w:vertAnchor="text" w:horzAnchor="page" w:tblpXSpec="center" w:tblpY="218"/>
        <w:tblOverlap w:val="never"/>
        <w:tblW w:w="86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19"/>
        <w:gridCol w:w="1983"/>
        <w:gridCol w:w="29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7"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序号</w:t>
            </w:r>
          </w:p>
        </w:tc>
        <w:tc>
          <w:tcPr>
            <w:tcW w:w="2819"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1983"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单位</w:t>
            </w:r>
          </w:p>
        </w:tc>
        <w:tc>
          <w:tcPr>
            <w:tcW w:w="2988" w:type="dxa"/>
            <w:tcBorders>
              <w:tl2br w:val="nil"/>
              <w:tr2bl w:val="nil"/>
            </w:tcBorders>
          </w:tcPr>
          <w:p>
            <w:pPr>
              <w:jc w:val="center"/>
              <w:rPr>
                <w:rFonts w:ascii="黑体" w:hAnsi="黑体" w:eastAsia="黑体" w:cs="黑体"/>
                <w:bCs/>
                <w:sz w:val="28"/>
                <w:szCs w:val="28"/>
              </w:rPr>
            </w:pPr>
            <w:r>
              <w:rPr>
                <w:rFonts w:hint="eastAsia" w:ascii="黑体" w:hAnsi="黑体" w:eastAsia="黑体" w:cs="黑体"/>
                <w:bCs/>
                <w:sz w:val="28"/>
                <w:szCs w:val="28"/>
              </w:rPr>
              <w:t>数  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救援用轿车</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台</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救援用货车</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台</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担架</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棕绳</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米</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手拉葫芦</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气焊气割工具</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套</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警戒线</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盘</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对讲机</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部</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电镐</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消 防 斧</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把</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大型照明灯具</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千 斤 顶</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安全带</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套</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撬棍</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把</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镐</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把</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扳手</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把</w:t>
            </w:r>
          </w:p>
        </w:tc>
        <w:tc>
          <w:tcPr>
            <w:tcW w:w="2988"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17</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铁锹</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把</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17" w:type="dxa"/>
            <w:tcBorders>
              <w:tl2br w:val="nil"/>
              <w:tr2bl w:val="nil"/>
            </w:tcBorders>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18</w:t>
            </w:r>
          </w:p>
        </w:tc>
        <w:tc>
          <w:tcPr>
            <w:tcW w:w="2819"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灭 火 器</w:t>
            </w:r>
          </w:p>
        </w:tc>
        <w:tc>
          <w:tcPr>
            <w:tcW w:w="1983" w:type="dxa"/>
            <w:tcBorders>
              <w:tl2br w:val="nil"/>
              <w:tr2bl w:val="nil"/>
            </w:tcBorders>
          </w:tcPr>
          <w:p>
            <w:pPr>
              <w:jc w:val="center"/>
              <w:rPr>
                <w:rFonts w:ascii="Times New Roman" w:hAnsi="Times New Roman" w:eastAsia="仿宋_GB2312"/>
                <w:sz w:val="28"/>
                <w:szCs w:val="28"/>
              </w:rPr>
            </w:pPr>
            <w:r>
              <w:rPr>
                <w:rFonts w:ascii="Times New Roman" w:hAnsi="Times New Roman" w:eastAsia="仿宋_GB2312"/>
                <w:sz w:val="28"/>
                <w:szCs w:val="28"/>
              </w:rPr>
              <w:t>个</w:t>
            </w:r>
          </w:p>
        </w:tc>
        <w:tc>
          <w:tcPr>
            <w:tcW w:w="2988"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10</w:t>
            </w:r>
          </w:p>
        </w:tc>
      </w:tr>
    </w:tbl>
    <w:p>
      <w:pPr>
        <w:pStyle w:val="11"/>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color w:val="000000"/>
          <w:sz w:val="32"/>
          <w:szCs w:val="32"/>
        </w:rPr>
      </w:pPr>
    </w:p>
    <w:p>
      <w:pPr>
        <w:pStyle w:val="11"/>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（2）山东泰山普惠建工有限公司急救援队伍及物资装备清单。（联络员：刘维玲，手机：13153898208）</w:t>
      </w:r>
    </w:p>
    <w:tbl>
      <w:tblPr>
        <w:tblStyle w:val="14"/>
        <w:tblpPr w:leftFromText="180" w:rightFromText="180" w:vertAnchor="text" w:horzAnchor="page" w:tblpXSpec="center" w:tblpY="327"/>
        <w:tblOverlap w:val="never"/>
        <w:tblW w:w="85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7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412"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姓  名</w:t>
            </w:r>
          </w:p>
        </w:tc>
        <w:tc>
          <w:tcPr>
            <w:tcW w:w="7147"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张庆厚</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总指挥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赵善民</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副总指挥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马  亮</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副总指挥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郭  颖</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谭耀国</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李  靖</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徐  燕</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庞洪彬</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张  超</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孙  魁</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侯延波</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马  斌</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郑西军</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马怀庆</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12"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姓  名</w:t>
            </w:r>
          </w:p>
        </w:tc>
        <w:tc>
          <w:tcPr>
            <w:tcW w:w="7147" w:type="dxa"/>
            <w:tcBorders>
              <w:tl2br w:val="nil"/>
              <w:tr2bl w:val="nil"/>
            </w:tcBorders>
            <w:vAlign w:val="center"/>
          </w:tcPr>
          <w:p>
            <w:pPr>
              <w:jc w:val="center"/>
              <w:rPr>
                <w:rFonts w:ascii="黑体" w:hAnsi="黑体" w:eastAsia="黑体" w:cs="黑体"/>
                <w:bCs/>
                <w:sz w:val="28"/>
                <w:szCs w:val="28"/>
              </w:rPr>
            </w:pPr>
            <w:r>
              <w:rPr>
                <w:rFonts w:hint="eastAsia" w:ascii="黑体" w:hAnsi="黑体" w:eastAsia="黑体" w:cs="黑体"/>
                <w:bCs/>
                <w:sz w:val="28"/>
                <w:szCs w:val="28"/>
              </w:rPr>
              <w:t>职     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白东贤</w:t>
            </w:r>
          </w:p>
        </w:tc>
        <w:tc>
          <w:tcPr>
            <w:tcW w:w="7147"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杲宪章</w:t>
            </w:r>
          </w:p>
        </w:tc>
        <w:tc>
          <w:tcPr>
            <w:tcW w:w="7147"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万  瑞</w:t>
            </w:r>
          </w:p>
        </w:tc>
        <w:tc>
          <w:tcPr>
            <w:tcW w:w="7147"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张  强</w:t>
            </w:r>
          </w:p>
        </w:tc>
        <w:tc>
          <w:tcPr>
            <w:tcW w:w="7147" w:type="dxa"/>
            <w:tcBorders>
              <w:tl2br w:val="nil"/>
              <w:tr2bl w:val="nil"/>
            </w:tcBorders>
            <w:vAlign w:val="center"/>
          </w:tcPr>
          <w:p>
            <w:pPr>
              <w:jc w:val="center"/>
              <w:rPr>
                <w:rFonts w:ascii="Times New Roman" w:hAnsi="Times New Roman" w:eastAsia="仿宋_GB2312" w:cs="Times New Roman"/>
                <w:kern w:val="2"/>
                <w:sz w:val="28"/>
                <w:szCs w:val="28"/>
                <w:lang w:val="en-US" w:eastAsia="zh-CN" w:bidi="ar-SA"/>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孙积森</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徐宗恩</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刘少志</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李合法</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李  鹏</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成员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吴树青</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应急救援组组长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刘东海</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应急救护组组长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于宪贵</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警戒保卫组组长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徐灿顺</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物资保障组组长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刘维玲</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对外联络组组长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王桂玲</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技术支持组组长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12"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苏利波</w:t>
            </w:r>
          </w:p>
        </w:tc>
        <w:tc>
          <w:tcPr>
            <w:tcW w:w="7147" w:type="dxa"/>
            <w:tcBorders>
              <w:tl2br w:val="nil"/>
              <w:tr2bl w:val="nil"/>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善后处理组组长</w:t>
            </w:r>
          </w:p>
        </w:tc>
      </w:tr>
    </w:tbl>
    <w:p>
      <w:pPr>
        <w:jc w:val="center"/>
        <w:rPr>
          <w:rFonts w:ascii="Times New Roman" w:hAnsi="Times New Roman" w:eastAsia="仿宋_GB2312"/>
          <w:sz w:val="44"/>
          <w:szCs w:val="44"/>
        </w:rPr>
      </w:pPr>
    </w:p>
    <w:tbl>
      <w:tblPr>
        <w:tblStyle w:val="1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214"/>
        <w:gridCol w:w="2265"/>
        <w:gridCol w:w="20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黑体" w:hAnsi="黑体" w:eastAsia="黑体" w:cs="黑体"/>
                <w:bCs/>
                <w:sz w:val="28"/>
                <w:szCs w:val="28"/>
              </w:rPr>
            </w:pPr>
            <w:r>
              <w:rPr>
                <w:rFonts w:hint="eastAsia" w:ascii="黑体" w:hAnsi="黑体" w:eastAsia="黑体" w:cs="黑体"/>
                <w:bCs/>
                <w:sz w:val="28"/>
                <w:szCs w:val="28"/>
              </w:rPr>
              <w:t>序号</w:t>
            </w:r>
          </w:p>
        </w:tc>
        <w:tc>
          <w:tcPr>
            <w:tcW w:w="3214" w:type="dxa"/>
            <w:tcBorders>
              <w:tl2br w:val="nil"/>
              <w:tr2bl w:val="nil"/>
            </w:tcBorders>
            <w:vAlign w:val="center"/>
          </w:tcPr>
          <w:p>
            <w:pPr>
              <w:widowControl w:val="0"/>
              <w:jc w:val="center"/>
              <w:rPr>
                <w:rFonts w:ascii="黑体" w:hAnsi="黑体" w:eastAsia="黑体" w:cs="黑体"/>
                <w:bCs/>
                <w:sz w:val="28"/>
                <w:szCs w:val="28"/>
              </w:rPr>
            </w:pPr>
            <w:r>
              <w:rPr>
                <w:rFonts w:hint="eastAsia" w:ascii="黑体" w:hAnsi="黑体" w:eastAsia="黑体" w:cs="黑体"/>
                <w:bCs/>
                <w:sz w:val="28"/>
                <w:szCs w:val="28"/>
              </w:rPr>
              <w:t>设备名称</w:t>
            </w:r>
          </w:p>
        </w:tc>
        <w:tc>
          <w:tcPr>
            <w:tcW w:w="2265" w:type="dxa"/>
            <w:tcBorders>
              <w:tl2br w:val="nil"/>
              <w:tr2bl w:val="nil"/>
            </w:tcBorders>
            <w:vAlign w:val="center"/>
          </w:tcPr>
          <w:p>
            <w:pPr>
              <w:widowControl w:val="0"/>
              <w:jc w:val="center"/>
              <w:rPr>
                <w:rFonts w:ascii="黑体" w:hAnsi="黑体" w:eastAsia="黑体" w:cs="黑体"/>
                <w:bCs/>
                <w:sz w:val="28"/>
                <w:szCs w:val="28"/>
              </w:rPr>
            </w:pPr>
            <w:r>
              <w:rPr>
                <w:rFonts w:hint="eastAsia" w:ascii="黑体" w:hAnsi="黑体" w:eastAsia="黑体" w:cs="黑体"/>
                <w:bCs/>
                <w:sz w:val="28"/>
                <w:szCs w:val="28"/>
              </w:rPr>
              <w:t>单位</w:t>
            </w:r>
          </w:p>
        </w:tc>
        <w:tc>
          <w:tcPr>
            <w:tcW w:w="2050" w:type="dxa"/>
            <w:tcBorders>
              <w:tl2br w:val="nil"/>
              <w:tr2bl w:val="nil"/>
            </w:tcBorders>
            <w:vAlign w:val="center"/>
          </w:tcPr>
          <w:p>
            <w:pPr>
              <w:widowControl w:val="0"/>
              <w:jc w:val="center"/>
              <w:rPr>
                <w:rFonts w:ascii="黑体" w:hAnsi="黑体" w:eastAsia="黑体" w:cs="黑体"/>
                <w:bCs/>
                <w:sz w:val="28"/>
                <w:szCs w:val="28"/>
              </w:rPr>
            </w:pPr>
            <w:r>
              <w:rPr>
                <w:rFonts w:hint="eastAsia" w:ascii="黑体" w:hAnsi="黑体" w:eastAsia="黑体" w:cs="黑体"/>
                <w:bCs/>
                <w:sz w:val="28"/>
                <w:szCs w:val="28"/>
              </w:rPr>
              <w:t>数量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救援用轿车</w:t>
            </w:r>
          </w:p>
        </w:tc>
        <w:tc>
          <w:tcPr>
            <w:tcW w:w="2265" w:type="dxa"/>
            <w:tcBorders>
              <w:tl2br w:val="nil"/>
              <w:tr2bl w:val="nil"/>
            </w:tcBorders>
          </w:tcPr>
          <w:p>
            <w:pPr>
              <w:widowControl w:val="0"/>
              <w:jc w:val="center"/>
              <w:rPr>
                <w:rFonts w:ascii="Times New Roman" w:hAnsi="Times New Roman" w:eastAsia="仿宋_GB2312"/>
                <w:sz w:val="28"/>
                <w:szCs w:val="28"/>
              </w:rPr>
            </w:pPr>
            <w:r>
              <w:rPr>
                <w:rFonts w:ascii="Times New Roman" w:hAnsi="Times New Roman" w:eastAsia="仿宋_GB2312"/>
                <w:sz w:val="28"/>
                <w:szCs w:val="28"/>
              </w:rPr>
              <w:t>台</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救援用货车</w:t>
            </w:r>
          </w:p>
        </w:tc>
        <w:tc>
          <w:tcPr>
            <w:tcW w:w="2265" w:type="dxa"/>
            <w:tcBorders>
              <w:tl2br w:val="nil"/>
              <w:tr2bl w:val="nil"/>
            </w:tcBorders>
          </w:tcPr>
          <w:p>
            <w:pPr>
              <w:widowControl w:val="0"/>
              <w:jc w:val="center"/>
              <w:rPr>
                <w:rFonts w:ascii="Times New Roman" w:hAnsi="Times New Roman" w:eastAsia="仿宋_GB2312"/>
                <w:sz w:val="28"/>
                <w:szCs w:val="28"/>
              </w:rPr>
            </w:pPr>
            <w:r>
              <w:rPr>
                <w:rFonts w:ascii="Times New Roman" w:hAnsi="Times New Roman" w:eastAsia="仿宋_GB2312"/>
                <w:sz w:val="28"/>
                <w:szCs w:val="28"/>
              </w:rPr>
              <w:t>台</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3214" w:type="dxa"/>
            <w:tcBorders>
              <w:tl2br w:val="nil"/>
              <w:tr2bl w:val="nil"/>
            </w:tcBorders>
            <w:vAlign w:val="center"/>
          </w:tcPr>
          <w:p>
            <w:pPr>
              <w:widowControl w:val="0"/>
              <w:jc w:val="center"/>
              <w:rPr>
                <w:rFonts w:hint="eastAsia" w:ascii="Times New Roman" w:hAnsi="Times New Roman" w:eastAsia="仿宋_GB2312"/>
                <w:sz w:val="28"/>
                <w:szCs w:val="28"/>
                <w:lang w:eastAsia="zh-CN"/>
              </w:rPr>
            </w:pPr>
            <w:bookmarkStart w:id="1" w:name="_GoBack"/>
            <w:bookmarkEnd w:id="1"/>
            <w:r>
              <w:rPr>
                <w:rFonts w:hint="eastAsia" w:ascii="Times New Roman" w:hAnsi="Times New Roman" w:eastAsia="仿宋_GB2312"/>
                <w:sz w:val="28"/>
                <w:szCs w:val="28"/>
                <w:lang w:eastAsia="zh-CN"/>
              </w:rPr>
              <w:t>编织袋</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条</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5000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铁锹</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把</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铁丝</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捆</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道碴石</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立</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水泵</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台</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钢丝绳</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根</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氧气焊</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套</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雨衣、雨鞋</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套</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900" w:type="dxa"/>
            <w:tcBorders>
              <w:tl2br w:val="nil"/>
              <w:tr2bl w:val="nil"/>
            </w:tcBorders>
            <w:vAlign w:val="center"/>
          </w:tcPr>
          <w:p>
            <w:pPr>
              <w:widowControl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3214"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手电筒</w:t>
            </w:r>
          </w:p>
        </w:tc>
        <w:tc>
          <w:tcPr>
            <w:tcW w:w="2265"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个</w:t>
            </w:r>
          </w:p>
        </w:tc>
        <w:tc>
          <w:tcPr>
            <w:tcW w:w="2050" w:type="dxa"/>
            <w:tcBorders>
              <w:tl2br w:val="nil"/>
              <w:tr2bl w:val="nil"/>
            </w:tcBorders>
            <w:vAlign w:val="center"/>
          </w:tcPr>
          <w:p>
            <w:pPr>
              <w:widowControl w:val="0"/>
              <w:jc w:val="center"/>
              <w:rPr>
                <w:rFonts w:ascii="Times New Roman" w:hAnsi="Times New Roman" w:eastAsia="仿宋_GB2312"/>
                <w:sz w:val="28"/>
                <w:szCs w:val="28"/>
              </w:rPr>
            </w:pPr>
            <w:r>
              <w:rPr>
                <w:rFonts w:ascii="Times New Roman" w:hAnsi="Times New Roman" w:eastAsia="仿宋_GB2312"/>
                <w:sz w:val="28"/>
                <w:szCs w:val="28"/>
              </w:rPr>
              <w:t>30</w:t>
            </w:r>
          </w:p>
        </w:tc>
      </w:tr>
    </w:tbl>
    <w:p>
      <w:pPr>
        <w:ind w:firstLine="640" w:firstLineChars="200"/>
        <w:rPr>
          <w:rFonts w:ascii="仿宋_GB2312" w:hAnsi="仿宋_GB2312" w:eastAsia="仿宋_GB2312" w:cs="仿宋_GB2312"/>
          <w:sz w:val="44"/>
          <w:szCs w:val="44"/>
        </w:rPr>
      </w:pPr>
      <w:r>
        <w:rPr>
          <w:rFonts w:hint="eastAsia" w:ascii="仿宋_GB2312" w:hAnsi="仿宋_GB2312" w:eastAsia="仿宋_GB2312" w:cs="仿宋_GB2312"/>
          <w:color w:val="000000"/>
          <w:sz w:val="32"/>
          <w:szCs w:val="32"/>
        </w:rPr>
        <w:t>应急救援队伍联络员或通讯方式发生变更的，请于3日内通知区住建局6236668。</w:t>
      </w:r>
    </w:p>
    <w:p>
      <w:pPr>
        <w:jc w:val="center"/>
        <w:rPr>
          <w:rFonts w:ascii="Times New Roman" w:hAnsi="Times New Roman" w:eastAsia="仿宋_GB2312"/>
          <w:sz w:val="44"/>
          <w:szCs w:val="44"/>
        </w:rPr>
      </w:pPr>
    </w:p>
    <w:p>
      <w:pPr>
        <w:rPr>
          <w:rFonts w:ascii="Times New Roman" w:hAnsi="Times New Roman"/>
        </w:rPr>
      </w:pPr>
    </w:p>
    <w:p>
      <w:pPr>
        <w:jc w:val="center"/>
        <w:rPr>
          <w:rFonts w:ascii="Times New Roman" w:hAnsi="Times New Roman" w:eastAsia="仿宋_GB2312"/>
          <w:sz w:val="44"/>
          <w:szCs w:val="44"/>
        </w:rPr>
      </w:pPr>
    </w:p>
    <w:p>
      <w:pPr>
        <w:snapToGrid w:val="0"/>
        <w:spacing w:line="500" w:lineRule="exact"/>
        <w:jc w:val="center"/>
        <w:outlineLvl w:val="1"/>
        <w:rPr>
          <w:rFonts w:hint="eastAsia" w:ascii="经典粗宋简" w:hAnsi="经典粗宋简" w:eastAsia="经典粗宋简" w:cs="经典粗宋简"/>
          <w:bCs/>
          <w:kern w:val="0"/>
          <w:sz w:val="44"/>
          <w:szCs w:val="44"/>
        </w:rPr>
      </w:pPr>
    </w:p>
    <w:p>
      <w:pPr>
        <w:snapToGrid w:val="0"/>
        <w:spacing w:line="500" w:lineRule="exact"/>
        <w:jc w:val="center"/>
        <w:outlineLvl w:val="1"/>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8.5事故报告表</w:t>
      </w:r>
    </w:p>
    <w:p>
      <w:pPr>
        <w:spacing w:line="240" w:lineRule="exact"/>
        <w:jc w:val="center"/>
        <w:rPr>
          <w:rFonts w:ascii="Times New Roman" w:hAnsi="Times New Roman" w:eastAsia="仿宋_GB2312"/>
          <w:sz w:val="44"/>
          <w:szCs w:val="44"/>
        </w:rPr>
      </w:pPr>
    </w:p>
    <w:p>
      <w:pPr>
        <w:pStyle w:val="12"/>
        <w:spacing w:before="0" w:beforeAutospacing="0" w:after="0" w:afterAutospacing="0" w:line="500" w:lineRule="exact"/>
        <w:ind w:firstLine="240"/>
        <w:rPr>
          <w:rFonts w:ascii="Times New Roman" w:hAnsi="Times New Roman" w:eastAsia="仿宋_GB2312"/>
          <w:bCs/>
          <w:sz w:val="24"/>
        </w:rPr>
      </w:pPr>
      <w:r>
        <w:rPr>
          <w:rFonts w:ascii="Times New Roman" w:hAnsi="Times New Roman" w:eastAsia="仿宋_GB2312"/>
          <w:bCs/>
          <w:sz w:val="24"/>
        </w:rPr>
        <w:t>填报单位：（盖章）                      填报时间：   年   月   日</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1232"/>
        <w:gridCol w:w="2239"/>
        <w:gridCol w:w="2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2274" w:type="dxa"/>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事故发生时间</w:t>
            </w:r>
          </w:p>
        </w:tc>
        <w:tc>
          <w:tcPr>
            <w:tcW w:w="1232" w:type="dxa"/>
            <w:tcBorders>
              <w:tl2br w:val="nil"/>
              <w:tr2bl w:val="nil"/>
            </w:tcBorders>
            <w:vAlign w:val="center"/>
          </w:tcPr>
          <w:p>
            <w:pPr>
              <w:pStyle w:val="12"/>
              <w:ind w:firstLine="240"/>
              <w:jc w:val="center"/>
              <w:rPr>
                <w:rFonts w:ascii="Times New Roman" w:hAnsi="Times New Roman" w:eastAsia="仿宋_GB2312"/>
                <w:bCs/>
                <w:sz w:val="24"/>
              </w:rPr>
            </w:pPr>
          </w:p>
        </w:tc>
        <w:tc>
          <w:tcPr>
            <w:tcW w:w="2239" w:type="dxa"/>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事故发生地点</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274" w:type="dxa"/>
            <w:vMerge w:val="restart"/>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事故单位</w:t>
            </w:r>
          </w:p>
        </w:tc>
        <w:tc>
          <w:tcPr>
            <w:tcW w:w="3471" w:type="dxa"/>
            <w:gridSpan w:val="2"/>
            <w:tcBorders>
              <w:tl2br w:val="nil"/>
              <w:tr2bl w:val="nil"/>
            </w:tcBorders>
            <w:vAlign w:val="center"/>
          </w:tcPr>
          <w:p>
            <w:pPr>
              <w:pStyle w:val="12"/>
              <w:ind w:firstLine="240"/>
              <w:jc w:val="center"/>
              <w:rPr>
                <w:rFonts w:ascii="Times New Roman" w:hAnsi="Times New Roman" w:eastAsia="仿宋_GB2312"/>
                <w:bCs/>
                <w:sz w:val="24"/>
              </w:rPr>
            </w:pPr>
            <w:r>
              <w:rPr>
                <w:rFonts w:ascii="Times New Roman" w:hAnsi="Times New Roman" w:eastAsia="仿宋_GB2312"/>
                <w:bCs/>
                <w:sz w:val="24"/>
              </w:rPr>
              <w:t>名称</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274" w:type="dxa"/>
            <w:vMerge w:val="continue"/>
            <w:tcBorders>
              <w:tl2br w:val="nil"/>
              <w:tr2bl w:val="nil"/>
            </w:tcBorders>
            <w:vAlign w:val="center"/>
          </w:tcPr>
          <w:p>
            <w:pPr>
              <w:pStyle w:val="12"/>
              <w:ind w:firstLine="240"/>
              <w:jc w:val="center"/>
              <w:rPr>
                <w:rFonts w:ascii="Times New Roman" w:hAnsi="Times New Roman" w:eastAsia="仿宋_GB2312"/>
                <w:bCs/>
                <w:sz w:val="24"/>
              </w:rPr>
            </w:pPr>
          </w:p>
        </w:tc>
        <w:tc>
          <w:tcPr>
            <w:tcW w:w="3471" w:type="dxa"/>
            <w:gridSpan w:val="2"/>
            <w:tcBorders>
              <w:tl2br w:val="nil"/>
              <w:tr2bl w:val="nil"/>
            </w:tcBorders>
            <w:vAlign w:val="center"/>
          </w:tcPr>
          <w:p>
            <w:pPr>
              <w:pStyle w:val="12"/>
              <w:ind w:firstLine="240"/>
              <w:jc w:val="center"/>
              <w:rPr>
                <w:rFonts w:ascii="Times New Roman" w:hAnsi="Times New Roman" w:eastAsia="仿宋_GB2312"/>
                <w:bCs/>
                <w:sz w:val="24"/>
              </w:rPr>
            </w:pPr>
            <w:r>
              <w:rPr>
                <w:rFonts w:ascii="Times New Roman" w:hAnsi="Times New Roman" w:eastAsia="仿宋_GB2312"/>
                <w:bCs/>
                <w:sz w:val="24"/>
              </w:rPr>
              <w:t>类型</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2274" w:type="dxa"/>
            <w:vMerge w:val="continue"/>
            <w:tcBorders>
              <w:tl2br w:val="nil"/>
              <w:tr2bl w:val="nil"/>
            </w:tcBorders>
            <w:vAlign w:val="center"/>
          </w:tcPr>
          <w:p>
            <w:pPr>
              <w:pStyle w:val="12"/>
              <w:ind w:firstLine="240"/>
              <w:jc w:val="center"/>
              <w:rPr>
                <w:rFonts w:ascii="Times New Roman" w:hAnsi="Times New Roman" w:eastAsia="仿宋_GB2312"/>
                <w:bCs/>
                <w:sz w:val="24"/>
              </w:rPr>
            </w:pPr>
          </w:p>
        </w:tc>
        <w:tc>
          <w:tcPr>
            <w:tcW w:w="3471" w:type="dxa"/>
            <w:gridSpan w:val="2"/>
            <w:tcBorders>
              <w:tl2br w:val="nil"/>
              <w:tr2bl w:val="nil"/>
            </w:tcBorders>
            <w:vAlign w:val="center"/>
          </w:tcPr>
          <w:p>
            <w:pPr>
              <w:pStyle w:val="12"/>
              <w:ind w:firstLine="240"/>
              <w:jc w:val="center"/>
              <w:rPr>
                <w:rFonts w:ascii="Times New Roman" w:hAnsi="Times New Roman" w:eastAsia="仿宋_GB2312"/>
                <w:bCs/>
                <w:sz w:val="24"/>
              </w:rPr>
            </w:pPr>
            <w:r>
              <w:rPr>
                <w:rFonts w:ascii="Times New Roman" w:hAnsi="Times New Roman" w:eastAsia="仿宋_GB2312"/>
                <w:bCs/>
                <w:sz w:val="24"/>
              </w:rPr>
              <w:t>主要负责人</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274" w:type="dxa"/>
            <w:vMerge w:val="continue"/>
            <w:tcBorders>
              <w:tl2br w:val="nil"/>
              <w:tr2bl w:val="nil"/>
            </w:tcBorders>
            <w:vAlign w:val="center"/>
          </w:tcPr>
          <w:p>
            <w:pPr>
              <w:pStyle w:val="12"/>
              <w:ind w:firstLine="240"/>
              <w:jc w:val="center"/>
              <w:rPr>
                <w:rFonts w:ascii="Times New Roman" w:hAnsi="Times New Roman" w:eastAsia="仿宋_GB2312"/>
                <w:bCs/>
                <w:sz w:val="24"/>
              </w:rPr>
            </w:pPr>
          </w:p>
        </w:tc>
        <w:tc>
          <w:tcPr>
            <w:tcW w:w="3471" w:type="dxa"/>
            <w:gridSpan w:val="2"/>
            <w:tcBorders>
              <w:tl2br w:val="nil"/>
              <w:tr2bl w:val="nil"/>
            </w:tcBorders>
            <w:vAlign w:val="center"/>
          </w:tcPr>
          <w:p>
            <w:pPr>
              <w:pStyle w:val="12"/>
              <w:ind w:firstLine="240"/>
              <w:jc w:val="center"/>
              <w:rPr>
                <w:rFonts w:ascii="Times New Roman" w:hAnsi="Times New Roman" w:eastAsia="仿宋_GB2312"/>
                <w:bCs/>
                <w:sz w:val="24"/>
              </w:rPr>
            </w:pPr>
            <w:r>
              <w:rPr>
                <w:rFonts w:ascii="Times New Roman" w:hAnsi="Times New Roman" w:eastAsia="仿宋_GB2312"/>
                <w:bCs/>
                <w:sz w:val="24"/>
              </w:rPr>
              <w:t>联系方式</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274" w:type="dxa"/>
            <w:vMerge w:val="continue"/>
            <w:tcBorders>
              <w:tl2br w:val="nil"/>
              <w:tr2bl w:val="nil"/>
            </w:tcBorders>
            <w:vAlign w:val="center"/>
          </w:tcPr>
          <w:p>
            <w:pPr>
              <w:pStyle w:val="12"/>
              <w:ind w:firstLine="240"/>
              <w:jc w:val="center"/>
              <w:rPr>
                <w:rFonts w:ascii="Times New Roman" w:hAnsi="Times New Roman" w:eastAsia="仿宋_GB2312"/>
                <w:bCs/>
                <w:sz w:val="24"/>
              </w:rPr>
            </w:pPr>
          </w:p>
        </w:tc>
        <w:tc>
          <w:tcPr>
            <w:tcW w:w="3471" w:type="dxa"/>
            <w:gridSpan w:val="2"/>
            <w:tcBorders>
              <w:tl2br w:val="nil"/>
              <w:tr2bl w:val="nil"/>
            </w:tcBorders>
            <w:vAlign w:val="center"/>
          </w:tcPr>
          <w:p>
            <w:pPr>
              <w:pStyle w:val="12"/>
              <w:ind w:firstLine="240"/>
              <w:jc w:val="center"/>
              <w:rPr>
                <w:rFonts w:ascii="Times New Roman" w:hAnsi="Times New Roman" w:eastAsia="仿宋_GB2312"/>
                <w:bCs/>
                <w:sz w:val="24"/>
              </w:rPr>
            </w:pPr>
            <w:r>
              <w:rPr>
                <w:rFonts w:ascii="Times New Roman" w:hAnsi="Times New Roman" w:eastAsia="仿宋_GB2312"/>
                <w:bCs/>
                <w:sz w:val="24"/>
              </w:rPr>
              <w:t>上级主管部门（单位）</w:t>
            </w:r>
          </w:p>
        </w:tc>
        <w:tc>
          <w:tcPr>
            <w:tcW w:w="2950" w:type="dxa"/>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274" w:type="dxa"/>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伤亡人员基本情况</w:t>
            </w:r>
          </w:p>
        </w:tc>
        <w:tc>
          <w:tcPr>
            <w:tcW w:w="6421" w:type="dxa"/>
            <w:gridSpan w:val="3"/>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2274" w:type="dxa"/>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事故简要经过</w:t>
            </w:r>
          </w:p>
        </w:tc>
        <w:tc>
          <w:tcPr>
            <w:tcW w:w="6421" w:type="dxa"/>
            <w:gridSpan w:val="3"/>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2274" w:type="dxa"/>
            <w:tcBorders>
              <w:tl2br w:val="nil"/>
              <w:tr2bl w:val="nil"/>
            </w:tcBorders>
            <w:vAlign w:val="center"/>
          </w:tcPr>
          <w:p>
            <w:pPr>
              <w:pStyle w:val="12"/>
              <w:spacing w:before="0" w:beforeAutospacing="0" w:after="0" w:afterAutospacing="0" w:line="300" w:lineRule="exact"/>
              <w:ind w:firstLine="0" w:firstLineChars="0"/>
              <w:jc w:val="center"/>
              <w:rPr>
                <w:rFonts w:ascii="Times New Roman" w:hAnsi="Times New Roman" w:eastAsia="仿宋_GB2312"/>
                <w:bCs/>
                <w:sz w:val="24"/>
              </w:rPr>
            </w:pPr>
            <w:r>
              <w:rPr>
                <w:rFonts w:ascii="Times New Roman" w:hAnsi="Times New Roman" w:eastAsia="仿宋_GB2312"/>
                <w:bCs/>
                <w:sz w:val="24"/>
              </w:rPr>
              <w:t>事故已经造成和</w:t>
            </w:r>
          </w:p>
          <w:p>
            <w:pPr>
              <w:pStyle w:val="12"/>
              <w:spacing w:before="0" w:beforeAutospacing="0" w:after="0" w:afterAutospacing="0" w:line="300" w:lineRule="exact"/>
              <w:ind w:firstLine="0" w:firstLineChars="0"/>
              <w:jc w:val="center"/>
              <w:rPr>
                <w:rFonts w:ascii="Times New Roman" w:hAnsi="Times New Roman" w:eastAsia="仿宋_GB2312"/>
                <w:bCs/>
                <w:sz w:val="24"/>
              </w:rPr>
            </w:pPr>
            <w:r>
              <w:rPr>
                <w:rFonts w:ascii="Times New Roman" w:hAnsi="Times New Roman" w:eastAsia="仿宋_GB2312"/>
                <w:bCs/>
                <w:sz w:val="24"/>
              </w:rPr>
              <w:t>可能造成的伤亡人数，初步估计事故造成的直接经济</w:t>
            </w:r>
          </w:p>
          <w:p>
            <w:pPr>
              <w:pStyle w:val="12"/>
              <w:spacing w:before="0" w:beforeAutospacing="0" w:after="0" w:afterAutospacing="0" w:line="300" w:lineRule="exact"/>
              <w:ind w:firstLine="0" w:firstLineChars="0"/>
              <w:jc w:val="center"/>
              <w:rPr>
                <w:rFonts w:ascii="Times New Roman" w:hAnsi="Times New Roman" w:eastAsia="仿宋_GB2312"/>
                <w:bCs/>
                <w:sz w:val="24"/>
              </w:rPr>
            </w:pPr>
            <w:r>
              <w:rPr>
                <w:rFonts w:ascii="Times New Roman" w:hAnsi="Times New Roman" w:eastAsia="仿宋_GB2312"/>
                <w:bCs/>
                <w:sz w:val="24"/>
              </w:rPr>
              <w:t>损失</w:t>
            </w:r>
          </w:p>
        </w:tc>
        <w:tc>
          <w:tcPr>
            <w:tcW w:w="6421" w:type="dxa"/>
            <w:gridSpan w:val="3"/>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2274" w:type="dxa"/>
            <w:tcBorders>
              <w:tl2br w:val="nil"/>
              <w:tr2bl w:val="nil"/>
            </w:tcBorders>
            <w:vAlign w:val="center"/>
          </w:tcPr>
          <w:p>
            <w:pPr>
              <w:pStyle w:val="12"/>
              <w:ind w:firstLine="0" w:firstLineChars="0"/>
              <w:jc w:val="center"/>
              <w:rPr>
                <w:rFonts w:ascii="Times New Roman" w:hAnsi="Times New Roman" w:eastAsia="仿宋_GB2312"/>
                <w:bCs/>
                <w:sz w:val="24"/>
              </w:rPr>
            </w:pPr>
            <w:r>
              <w:rPr>
                <w:rFonts w:ascii="Times New Roman" w:hAnsi="Times New Roman" w:eastAsia="仿宋_GB2312"/>
                <w:bCs/>
                <w:sz w:val="24"/>
              </w:rPr>
              <w:t>事故抢救进展情况和采取的措施</w:t>
            </w:r>
          </w:p>
        </w:tc>
        <w:tc>
          <w:tcPr>
            <w:tcW w:w="6421" w:type="dxa"/>
            <w:gridSpan w:val="3"/>
            <w:tcBorders>
              <w:tl2br w:val="nil"/>
              <w:tr2bl w:val="nil"/>
            </w:tcBorders>
            <w:vAlign w:val="center"/>
          </w:tcPr>
          <w:p>
            <w:pPr>
              <w:pStyle w:val="12"/>
              <w:ind w:firstLine="240"/>
              <w:jc w:val="center"/>
              <w:rPr>
                <w:rFonts w:ascii="Times New Roman" w:hAnsi="Times New Roman" w:eastAsia="仿宋_GB2312"/>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274" w:type="dxa"/>
            <w:tcBorders>
              <w:tl2br w:val="nil"/>
              <w:tr2bl w:val="nil"/>
            </w:tcBorders>
            <w:vAlign w:val="center"/>
          </w:tcPr>
          <w:p>
            <w:pPr>
              <w:jc w:val="center"/>
              <w:rPr>
                <w:rFonts w:ascii="Times New Roman" w:hAnsi="Times New Roman" w:eastAsia="仿宋_GB2312"/>
                <w:bCs/>
                <w:kern w:val="0"/>
                <w:sz w:val="24"/>
              </w:rPr>
            </w:pPr>
            <w:r>
              <w:rPr>
                <w:rFonts w:ascii="Times New Roman" w:hAnsi="Times New Roman" w:eastAsia="仿宋_GB2312"/>
                <w:color w:val="000000"/>
                <w:kern w:val="0"/>
                <w:sz w:val="24"/>
              </w:rPr>
              <w:t>其他有关情况</w:t>
            </w:r>
          </w:p>
        </w:tc>
        <w:tc>
          <w:tcPr>
            <w:tcW w:w="6421" w:type="dxa"/>
            <w:gridSpan w:val="3"/>
            <w:tcBorders>
              <w:tl2br w:val="nil"/>
              <w:tr2bl w:val="nil"/>
            </w:tcBorders>
            <w:vAlign w:val="center"/>
          </w:tcPr>
          <w:p>
            <w:pPr>
              <w:pStyle w:val="12"/>
              <w:ind w:firstLine="240"/>
              <w:jc w:val="center"/>
              <w:rPr>
                <w:rFonts w:ascii="Times New Roman" w:hAnsi="Times New Roman" w:eastAsia="仿宋_GB2312"/>
                <w:bCs/>
                <w:sz w:val="24"/>
              </w:rPr>
            </w:pPr>
          </w:p>
        </w:tc>
      </w:tr>
    </w:tbl>
    <w:p>
      <w:pPr>
        <w:snapToGrid w:val="0"/>
        <w:spacing w:line="500" w:lineRule="exact"/>
        <w:jc w:val="center"/>
        <w:outlineLvl w:val="1"/>
        <w:rPr>
          <w:rFonts w:ascii="Times New Roman" w:hAnsi="Times New Roman" w:eastAsia="仿宋_GB2312"/>
          <w:b/>
          <w:kern w:val="0"/>
          <w:sz w:val="32"/>
          <w:szCs w:val="32"/>
        </w:rPr>
      </w:pPr>
    </w:p>
    <w:p>
      <w:pPr>
        <w:snapToGrid w:val="0"/>
        <w:spacing w:afterLines="50" w:line="500" w:lineRule="exact"/>
        <w:jc w:val="center"/>
        <w:outlineLvl w:val="1"/>
        <w:rPr>
          <w:rFonts w:ascii="经典粗宋简" w:hAnsi="经典粗宋简" w:eastAsia="经典粗宋简" w:cs="经典粗宋简"/>
          <w:bCs/>
          <w:kern w:val="0"/>
          <w:sz w:val="44"/>
          <w:szCs w:val="44"/>
        </w:rPr>
      </w:pPr>
      <w:r>
        <w:rPr>
          <w:rFonts w:hint="eastAsia" w:ascii="经典粗宋简" w:hAnsi="经典粗宋简" w:eastAsia="经典粗宋简" w:cs="经典粗宋简"/>
          <w:bCs/>
          <w:kern w:val="0"/>
          <w:sz w:val="44"/>
          <w:szCs w:val="44"/>
        </w:rPr>
        <w:t>8.6应急预案启动响应令</w:t>
      </w:r>
    </w:p>
    <w:p>
      <w:pPr>
        <w:pStyle w:val="12"/>
        <w:ind w:firstLine="320"/>
        <w:rPr>
          <w:rFonts w:ascii="Times New Roman" w:hAnsi="Times New Roman" w:eastAsia="仿宋_GB2312"/>
          <w:b/>
          <w:sz w:val="32"/>
          <w:szCs w:val="32"/>
        </w:rPr>
      </w:pPr>
      <w:r>
        <w:rPr>
          <w:rFonts w:ascii="Times New Roman" w:hAnsi="Times New Roman" w:eastAsia="仿宋_GB2312"/>
          <w:sz w:val="32"/>
        </w:rPr>
        <w:pict>
          <v:rect id="矩形 83" o:spid="_x0000_s1031" o:spt="1" style="position:absolute;left:0pt;margin-left:0.9pt;margin-top:8.35pt;height:611.5pt;width:439.45pt;z-index:251662336;mso-width-relative:page;mso-height-relative:page;" filled="t" coordsize="21600,21600" o:gfxdata="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A454jXAAAACQEAAA8AAAAAAAAAAQAgAAAAIgAAAGRycy9k&#10;b3ducmV2LnhtbFBLAQIUABQAAAAIAIdO4kC7A/9FPAIAALQEAAAOAAAAAAAAAAEAIAAAACYBAABk&#10;cnMvZTJvRG9jLnhtbFBLBQYAAAAABgAGAFkBAADUBQAAAAA=&#10;">
            <v:path/>
            <v:fill type="gradient" on="t" angle="90" focus="100%" focussize="0f,0f">
              <o:fill type="gradientUnscaled" v:ext="backwardCompatible"/>
            </v:fill>
            <v:stroke weight="1.5pt"/>
            <v:imagedata o:title=""/>
            <o:lock v:ext="edit"/>
            <v:textbox>
              <w:txbxContent>
                <w:p>
                  <w:pPr>
                    <w:jc w:val="left"/>
                    <w:rPr>
                      <w:rFonts w:ascii="宋体" w:hAnsi="宋体" w:cs="宋体"/>
                    </w:rPr>
                  </w:pPr>
                  <w:r>
                    <w:rPr>
                      <w:rFonts w:hint="eastAsia" w:ascii="宋体" w:hAnsi="宋体" w:cs="宋体"/>
                      <w:color w:val="000000"/>
                      <w:kern w:val="0"/>
                      <w:sz w:val="31"/>
                      <w:szCs w:val="31"/>
                    </w:rPr>
                    <w:t xml:space="preserve"> </w:t>
                  </w:r>
                </w:p>
                <w:p>
                  <w:pPr>
                    <w:jc w:val="left"/>
                    <w:rPr>
                      <w:rFonts w:ascii="宋体" w:hAnsi="宋体" w:cs="宋体"/>
                      <w:color w:val="000000"/>
                      <w:kern w:val="0"/>
                      <w:sz w:val="48"/>
                      <w:szCs w:val="48"/>
                    </w:rPr>
                  </w:pPr>
                </w:p>
                <w:p>
                  <w:pPr>
                    <w:jc w:val="left"/>
                    <w:rPr>
                      <w:rFonts w:ascii="宋体" w:hAnsi="宋体" w:cs="宋体"/>
                      <w:color w:val="000000"/>
                      <w:kern w:val="0"/>
                      <w:sz w:val="48"/>
                      <w:szCs w:val="48"/>
                    </w:rPr>
                  </w:pPr>
                </w:p>
                <w:p>
                  <w:pPr>
                    <w:jc w:val="left"/>
                    <w:rPr>
                      <w:rFonts w:ascii="宋体" w:hAnsi="宋体" w:cs="宋体"/>
                      <w:color w:val="000000"/>
                      <w:kern w:val="0"/>
                      <w:sz w:val="48"/>
                      <w:szCs w:val="48"/>
                    </w:rPr>
                  </w:pP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color w:val="000000"/>
                      <w:kern w:val="0"/>
                      <w:sz w:val="44"/>
                      <w:szCs w:val="44"/>
                    </w:rPr>
                    <w:t>应急预案启动响应令</w:t>
                  </w:r>
                </w:p>
                <w:p>
                  <w:pPr>
                    <w:jc w:val="left"/>
                    <w:rPr>
                      <w:rFonts w:ascii="宋体" w:hAnsi="宋体" w:cs="宋体"/>
                      <w:color w:val="000000"/>
                      <w:kern w:val="0"/>
                      <w:sz w:val="31"/>
                      <w:szCs w:val="31"/>
                    </w:rPr>
                  </w:pPr>
                </w:p>
                <w:p>
                  <w:pPr>
                    <w:jc w:val="left"/>
                    <w:rPr>
                      <w:rFonts w:ascii="宋体" w:hAnsi="宋体" w:cs="宋体"/>
                      <w:color w:val="000000"/>
                      <w:kern w:val="0"/>
                      <w:sz w:val="31"/>
                      <w:szCs w:val="31"/>
                    </w:rPr>
                  </w:pPr>
                </w:p>
                <w:p>
                  <w:pPr>
                    <w:ind w:firstLine="620" w:firstLineChars="200"/>
                    <w:jc w:val="left"/>
                    <w:rPr>
                      <w:rFonts w:ascii="宋体" w:hAnsi="宋体" w:cs="宋体"/>
                      <w:color w:val="000000"/>
                      <w:kern w:val="0"/>
                      <w:sz w:val="31"/>
                      <w:szCs w:val="31"/>
                    </w:rPr>
                  </w:pPr>
                </w:p>
                <w:p>
                  <w:pPr>
                    <w:pStyle w:val="12"/>
                    <w:ind w:firstLine="210"/>
                  </w:pPr>
                </w:p>
                <w:p>
                  <w:pPr>
                    <w:ind w:firstLine="640" w:firstLineChars="200"/>
                    <w:rPr>
                      <w:rFonts w:ascii="仿宋_GB2312" w:hAnsi="宋体" w:eastAsia="仿宋_GB2312" w:cs="宋体"/>
                      <w:sz w:val="32"/>
                      <w:szCs w:val="32"/>
                    </w:rPr>
                  </w:pPr>
                  <w:r>
                    <w:rPr>
                      <w:rFonts w:hint="eastAsia" w:ascii="仿宋_GB2312" w:hAnsi="宋体" w:eastAsia="仿宋_GB2312" w:cs="宋体"/>
                      <w:color w:val="000000"/>
                      <w:kern w:val="0"/>
                      <w:sz w:val="32"/>
                      <w:szCs w:val="32"/>
                    </w:rPr>
                    <w:t>经核实，发生        生产安全事故，令即刻启动泰山区房屋建筑和市政工程建设生产安全事故应急预案响应。</w:t>
                  </w:r>
                </w:p>
                <w:p>
                  <w:pPr>
                    <w:jc w:val="left"/>
                    <w:rPr>
                      <w:rFonts w:ascii="仿宋_GB2312" w:hAnsi="宋体" w:eastAsia="仿宋_GB2312" w:cs="宋体"/>
                      <w:color w:val="000000"/>
                      <w:kern w:val="0"/>
                      <w:sz w:val="32"/>
                      <w:szCs w:val="32"/>
                    </w:rPr>
                  </w:pPr>
                </w:p>
                <w:p>
                  <w:pPr>
                    <w:jc w:val="left"/>
                    <w:rPr>
                      <w:rFonts w:ascii="仿宋_GB2312" w:hAnsi="宋体" w:eastAsia="仿宋_GB2312" w:cs="宋体"/>
                      <w:color w:val="000000"/>
                      <w:kern w:val="0"/>
                      <w:sz w:val="32"/>
                      <w:szCs w:val="32"/>
                    </w:rPr>
                  </w:pPr>
                </w:p>
                <w:p>
                  <w:pPr>
                    <w:pStyle w:val="2"/>
                  </w:pPr>
                </w:p>
                <w:p>
                  <w:pPr>
                    <w:ind w:firstLine="5120" w:firstLineChars="1600"/>
                    <w:jc w:val="left"/>
                    <w:rPr>
                      <w:rFonts w:ascii="仿宋_GB2312" w:hAnsi="宋体" w:eastAsia="仿宋_GB2312" w:cs="宋体"/>
                      <w:sz w:val="32"/>
                      <w:szCs w:val="32"/>
                    </w:rPr>
                  </w:pPr>
                  <w:r>
                    <w:rPr>
                      <w:rFonts w:hint="eastAsia" w:ascii="仿宋_GB2312" w:hAnsi="宋体" w:eastAsia="仿宋_GB2312" w:cs="宋体"/>
                      <w:color w:val="000000"/>
                      <w:kern w:val="0"/>
                      <w:sz w:val="32"/>
                      <w:szCs w:val="32"/>
                    </w:rPr>
                    <w:t xml:space="preserve">签发人： </w:t>
                  </w:r>
                </w:p>
                <w:p>
                  <w:pPr>
                    <w:ind w:firstLine="4480" w:firstLineChars="1400"/>
                    <w:jc w:val="left"/>
                  </w:pPr>
                  <w:r>
                    <w:rPr>
                      <w:rFonts w:hint="eastAsia" w:ascii="仿宋_GB2312" w:hAnsi="宋体" w:eastAsia="仿宋_GB2312" w:cs="宋体"/>
                      <w:color w:val="000000"/>
                      <w:kern w:val="0"/>
                      <w:sz w:val="32"/>
                      <w:szCs w:val="32"/>
                    </w:rPr>
                    <w:t>年   月   日   时  分</w:t>
                  </w:r>
                </w:p>
              </w:txbxContent>
            </v:textbox>
          </v:rect>
        </w:pict>
      </w:r>
    </w:p>
    <w:p>
      <w:pPr>
        <w:pStyle w:val="12"/>
        <w:ind w:firstLine="321"/>
        <w:rPr>
          <w:rFonts w:ascii="Times New Roman" w:hAnsi="Times New Roman" w:eastAsia="仿宋_GB2312"/>
          <w:b/>
          <w:sz w:val="32"/>
          <w:szCs w:val="3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rPr>
          <w:rFonts w:ascii="Times New Roman" w:hAnsi="Times New Roman" w:eastAsia="仿宋_GB2312"/>
        </w:rPr>
      </w:pPr>
    </w:p>
    <w:p>
      <w:pPr>
        <w:snapToGrid w:val="0"/>
        <w:spacing w:afterLines="50" w:line="500" w:lineRule="exact"/>
        <w:jc w:val="center"/>
        <w:outlineLvl w:val="1"/>
        <w:rPr>
          <w:rFonts w:ascii="经典粗宋简" w:hAnsi="经典粗宋简" w:eastAsia="经典粗宋简" w:cs="经典粗宋简"/>
          <w:bCs/>
          <w:sz w:val="44"/>
          <w:szCs w:val="44"/>
        </w:rPr>
      </w:pPr>
      <w:r>
        <w:rPr>
          <w:rFonts w:hint="eastAsia" w:ascii="经典粗宋简" w:hAnsi="经典粗宋简" w:eastAsia="经典粗宋简" w:cs="经典粗宋简"/>
          <w:bCs/>
          <w:kern w:val="0"/>
          <w:sz w:val="44"/>
          <w:szCs w:val="44"/>
        </w:rPr>
        <w:t>8.7 应急预案响应终止令</w:t>
      </w:r>
    </w:p>
    <w:p>
      <w:pPr>
        <w:pStyle w:val="12"/>
        <w:ind w:firstLine="320"/>
        <w:rPr>
          <w:rFonts w:ascii="仿宋_GB2312" w:hAnsi="Times New Roman" w:eastAsia="仿宋_GB2312"/>
          <w:b/>
          <w:sz w:val="32"/>
          <w:szCs w:val="32"/>
        </w:rPr>
      </w:pPr>
      <w:r>
        <w:rPr>
          <w:rFonts w:ascii="仿宋_GB2312" w:eastAsia="仿宋_GB2312"/>
          <w:sz w:val="32"/>
        </w:rPr>
        <w:pict>
          <v:rect id="矩形 84" o:spid="_x0000_s1030" o:spt="1" style="position:absolute;left:0pt;margin-left:-1.65pt;margin-top:1.05pt;height:610.75pt;width:444.45pt;z-index:251663360;mso-width-relative:page;mso-height-relative:page;" fillcolor="#FFFFFF" filled="t" stroked="t" coordsize="21600,21600" o:gfxdata="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&#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mnRtf2AAAAAkBAAAPAAAAAAAAAAEAIAAAACIAAABk&#10;cnMvZG93bnJldi54bWxQSwECFAAUAAAACACHTuJAu12V5j8CAAC0BAAADgAAAAAAAAABACAAAAAn&#10;AQAAZHJzL2Uyb0RvYy54bWxQSwUGAAAAAAYABgBZAQAA2AUAAAAA&#10;">
            <v:path/>
            <v:fill type="gradient" on="t" color2="#FFFFFF" angle="90" focus="100%" focussize="0f,0f" focusposition="0f,0f">
              <o:fill type="gradientUnscaled" v:ext="backwardCompatible"/>
            </v:fill>
            <v:stroke weight="1.25pt" color="#000000" joinstyle="miter"/>
            <v:imagedata o:title=""/>
            <o:lock v:ext="edit" aspectratio="f"/>
            <v:textbox>
              <w:txbxContent>
                <w:p>
                  <w:pPr>
                    <w:jc w:val="left"/>
                    <w:rPr>
                      <w:rFonts w:ascii="宋体" w:hAnsi="宋体" w:cs="宋体"/>
                    </w:rPr>
                  </w:pPr>
                  <w:r>
                    <w:rPr>
                      <w:rFonts w:hint="eastAsia" w:ascii="宋体" w:hAnsi="宋体" w:cs="宋体"/>
                      <w:color w:val="000000"/>
                      <w:kern w:val="0"/>
                      <w:sz w:val="31"/>
                      <w:szCs w:val="31"/>
                    </w:rPr>
                    <w:t xml:space="preserve"> </w:t>
                  </w:r>
                </w:p>
                <w:p>
                  <w:pPr>
                    <w:jc w:val="left"/>
                    <w:rPr>
                      <w:rFonts w:ascii="宋体" w:hAnsi="宋体" w:cs="宋体"/>
                      <w:color w:val="000000"/>
                      <w:kern w:val="0"/>
                      <w:sz w:val="48"/>
                      <w:szCs w:val="48"/>
                    </w:rPr>
                  </w:pPr>
                </w:p>
                <w:p>
                  <w:pPr>
                    <w:jc w:val="left"/>
                    <w:rPr>
                      <w:rFonts w:ascii="宋体" w:hAnsi="宋体" w:cs="宋体"/>
                      <w:color w:val="000000"/>
                      <w:kern w:val="0"/>
                      <w:sz w:val="48"/>
                      <w:szCs w:val="48"/>
                    </w:rPr>
                  </w:pPr>
                </w:p>
                <w:p>
                  <w:pPr>
                    <w:jc w:val="left"/>
                    <w:rPr>
                      <w:rFonts w:ascii="宋体" w:hAnsi="宋体" w:cs="宋体"/>
                      <w:color w:val="000000"/>
                      <w:kern w:val="0"/>
                      <w:sz w:val="48"/>
                      <w:szCs w:val="48"/>
                    </w:rPr>
                  </w:pPr>
                </w:p>
                <w:p>
                  <w:pPr>
                    <w:jc w:val="center"/>
                    <w:rPr>
                      <w:rFonts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应急预案响应终止令</w:t>
                  </w:r>
                </w:p>
                <w:p>
                  <w:pPr>
                    <w:jc w:val="left"/>
                    <w:rPr>
                      <w:rFonts w:ascii="宋体" w:hAnsi="宋体" w:cs="宋体"/>
                      <w:color w:val="000000"/>
                      <w:kern w:val="0"/>
                      <w:sz w:val="31"/>
                      <w:szCs w:val="31"/>
                    </w:rPr>
                  </w:pPr>
                </w:p>
                <w:p>
                  <w:pPr>
                    <w:jc w:val="left"/>
                    <w:rPr>
                      <w:rFonts w:ascii="宋体" w:hAnsi="宋体" w:cs="宋体"/>
                      <w:color w:val="000000"/>
                      <w:kern w:val="0"/>
                      <w:sz w:val="31"/>
                      <w:szCs w:val="31"/>
                    </w:rPr>
                  </w:pPr>
                </w:p>
                <w:p>
                  <w:pPr>
                    <w:ind w:firstLine="620" w:firstLineChars="200"/>
                    <w:jc w:val="left"/>
                    <w:rPr>
                      <w:rFonts w:ascii="宋体" w:hAnsi="宋体" w:cs="宋体"/>
                      <w:color w:val="000000"/>
                      <w:kern w:val="0"/>
                      <w:sz w:val="31"/>
                      <w:szCs w:val="31"/>
                    </w:rPr>
                  </w:pPr>
                </w:p>
                <w:p>
                  <w:pPr>
                    <w:pStyle w:val="12"/>
                    <w:ind w:firstLine="210"/>
                  </w:pPr>
                </w:p>
                <w:p>
                  <w:pPr>
                    <w:ind w:right="-185" w:rightChars="-88"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经核实，        生产安全事故应急处置达到结束条件，即刻起终止泰山区房屋建筑和市政工程建设生产安全事故应急预案响应程序。 </w:t>
                  </w: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2"/>
                    </w:rPr>
                  </w:pPr>
                </w:p>
                <w:p>
                  <w:pPr>
                    <w:ind w:firstLine="640" w:firstLineChars="200"/>
                    <w:jc w:val="left"/>
                    <w:rPr>
                      <w:rFonts w:ascii="仿宋_GB2312" w:hAnsi="宋体" w:eastAsia="仿宋_GB2312" w:cs="宋体"/>
                      <w:color w:val="000000"/>
                      <w:kern w:val="0"/>
                      <w:sz w:val="32"/>
                      <w:szCs w:val="32"/>
                    </w:rPr>
                  </w:pPr>
                </w:p>
                <w:p>
                  <w:pPr>
                    <w:ind w:firstLine="5440" w:firstLineChars="17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签发人： </w:t>
                  </w:r>
                </w:p>
                <w:p>
                  <w:pPr>
                    <w:ind w:firstLine="4640" w:firstLineChars="14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年   月   日   时  分</w:t>
                  </w:r>
                </w:p>
                <w:p/>
                <w:p>
                  <w:pPr>
                    <w:pStyle w:val="3"/>
                  </w:pPr>
                </w:p>
                <w:p/>
                <w:p>
                  <w:pPr>
                    <w:pStyle w:val="3"/>
                  </w:pPr>
                </w:p>
                <w:p/>
                <w:p>
                  <w:pPr>
                    <w:pStyle w:val="3"/>
                  </w:pPr>
                </w:p>
                <w:p/>
                <w:p>
                  <w:pPr>
                    <w:pStyle w:val="3"/>
                  </w:pPr>
                </w:p>
                <w:p/>
                <w:p>
                  <w:pPr>
                    <w:pStyle w:val="3"/>
                  </w:pPr>
                </w:p>
                <w:p/>
                <w:p/>
                <w:p>
                  <w:pPr>
                    <w:pStyle w:val="3"/>
                  </w:pPr>
                </w:p>
                <w:p/>
                <w:p>
                  <w:pPr>
                    <w:pStyle w:val="3"/>
                  </w:pPr>
                </w:p>
                <w:p/>
                <w:p>
                  <w:pPr>
                    <w:pStyle w:val="3"/>
                  </w:pPr>
                </w:p>
                <w:p/>
              </w:txbxContent>
            </v:textbox>
          </v:rect>
        </w:pict>
      </w:r>
    </w:p>
    <w:p>
      <w:pPr>
        <w:pStyle w:val="12"/>
        <w:ind w:firstLine="321"/>
        <w:rPr>
          <w:rFonts w:ascii="仿宋_GB2312" w:hAnsi="Times New Roman" w:eastAsia="仿宋_GB2312"/>
          <w:b/>
          <w:sz w:val="32"/>
          <w:szCs w:val="32"/>
        </w:rPr>
      </w:pPr>
    </w:p>
    <w:p>
      <w:pPr>
        <w:pStyle w:val="12"/>
        <w:ind w:firstLine="210"/>
        <w:rPr>
          <w:rFonts w:ascii="仿宋_GB2312" w:eastAsia="仿宋_GB2312"/>
        </w:rPr>
      </w:pPr>
    </w:p>
    <w:p>
      <w:pPr>
        <w:pStyle w:val="12"/>
        <w:ind w:firstLine="210"/>
        <w:rPr>
          <w:rFonts w:ascii="仿宋_GB2312" w:eastAsia="仿宋_GB2312"/>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Pr>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FF0000"/>
          <w:sz w:val="44"/>
          <w:szCs w:val="44"/>
        </w:rPr>
        <w:t>8.8应急预案评审意见表</w:t>
      </w:r>
    </w:p>
    <w:p>
      <w:pPr>
        <w:snapToGrid w:val="0"/>
        <w:spacing w:afterLines="50" w:line="500" w:lineRule="exact"/>
        <w:jc w:val="center"/>
        <w:outlineLvl w:val="1"/>
        <w:rPr>
          <w:rFonts w:hint="eastAsia" w:ascii="经典粗宋简" w:hAnsi="经典粗宋简" w:eastAsia="经典粗宋简" w:cs="经典粗宋简"/>
          <w:bCs/>
          <w:sz w:val="44"/>
          <w:szCs w:val="44"/>
          <w:lang w:eastAsia="zh-CN"/>
        </w:rPr>
      </w:pPr>
      <w:r>
        <w:rPr>
          <w:rFonts w:hint="eastAsia" w:ascii="经典粗宋简" w:hAnsi="经典粗宋简" w:eastAsia="经典粗宋简" w:cs="经典粗宋简"/>
          <w:bCs/>
          <w:kern w:val="0"/>
          <w:sz w:val="44"/>
          <w:szCs w:val="44"/>
        </w:rPr>
        <w:t>8.</w:t>
      </w:r>
      <w:r>
        <w:rPr>
          <w:rFonts w:hint="eastAsia" w:ascii="经典粗宋简" w:hAnsi="经典粗宋简" w:eastAsia="经典粗宋简" w:cs="经典粗宋简"/>
          <w:bCs/>
          <w:kern w:val="0"/>
          <w:sz w:val="44"/>
          <w:szCs w:val="44"/>
          <w:lang w:val="en-US" w:eastAsia="zh-CN"/>
        </w:rPr>
        <w:t>8</w:t>
      </w:r>
      <w:r>
        <w:rPr>
          <w:rFonts w:hint="eastAsia" w:ascii="经典粗宋简" w:hAnsi="经典粗宋简" w:eastAsia="经典粗宋简" w:cs="经典粗宋简"/>
          <w:bCs/>
          <w:kern w:val="0"/>
          <w:sz w:val="44"/>
          <w:szCs w:val="44"/>
        </w:rPr>
        <w:t xml:space="preserve"> 应急预案</w:t>
      </w:r>
      <w:r>
        <w:rPr>
          <w:rFonts w:hint="eastAsia" w:ascii="经典粗宋简" w:hAnsi="经典粗宋简" w:eastAsia="经典粗宋简" w:cs="经典粗宋简"/>
          <w:bCs/>
          <w:kern w:val="0"/>
          <w:sz w:val="44"/>
          <w:szCs w:val="44"/>
          <w:lang w:eastAsia="zh-CN"/>
        </w:rPr>
        <w:t>评审意见表</w:t>
      </w:r>
    </w:p>
    <w:p>
      <w:pPr>
        <w:keepNext w:val="0"/>
        <w:keepLines w:val="0"/>
        <w:pageBreakBefore w:val="0"/>
        <w:widowControl/>
        <w:kinsoku/>
        <w:wordWrap/>
        <w:overflowPunct/>
        <w:topLinePunct w:val="0"/>
        <w:autoSpaceDE/>
        <w:autoSpaceDN/>
        <w:bidi w:val="0"/>
        <w:adjustRightInd/>
        <w:snapToGrid/>
        <w:spacing w:line="240" w:lineRule="exact"/>
        <w:textAlignment w:val="baseline"/>
      </w:pP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969"/>
        <w:gridCol w:w="1843"/>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160" w:type="dxa"/>
            <w:gridSpan w:val="4"/>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hint="eastAsia" w:ascii="黑体" w:hAnsi="黑体" w:eastAsia="黑体" w:cs="黑体"/>
                <w:b w:val="0"/>
                <w:bCs w:val="0"/>
                <w:color w:val="000000" w:themeColor="text1"/>
                <w:sz w:val="32"/>
                <w:szCs w:val="32"/>
                <w:u w:val="none"/>
              </w:rPr>
            </w:pPr>
            <w:r>
              <w:rPr>
                <w:rFonts w:hint="eastAsia" w:ascii="黑体" w:hAnsi="黑体" w:eastAsia="黑体" w:cs="黑体"/>
                <w:b w:val="0"/>
                <w:bCs w:val="0"/>
                <w:color w:val="000000" w:themeColor="text1"/>
                <w:sz w:val="32"/>
                <w:szCs w:val="32"/>
                <w:u w:val="none"/>
              </w:rPr>
              <w:t>泰安市泰山区房屋建筑和市政工程建设生产安全事故</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baseline"/>
              <w:rPr>
                <w:rFonts w:ascii="仿宋_GB2312" w:hAnsi="仿宋_GB2312" w:eastAsia="仿宋_GB2312" w:cs="仿宋_GB2312"/>
                <w:color w:val="FF0000"/>
                <w:sz w:val="32"/>
                <w:szCs w:val="32"/>
              </w:rPr>
            </w:pPr>
            <w:r>
              <w:rPr>
                <w:rFonts w:hint="eastAsia" w:ascii="黑体" w:hAnsi="黑体" w:eastAsia="黑体" w:cs="黑体"/>
                <w:b w:val="0"/>
                <w:bCs w:val="0"/>
                <w:color w:val="000000" w:themeColor="text1"/>
                <w:sz w:val="32"/>
                <w:szCs w:val="32"/>
                <w:u w:val="none"/>
              </w:rPr>
              <w:t>应急救援预案评审意见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8" w:hRule="atLeast"/>
        </w:trPr>
        <w:tc>
          <w:tcPr>
            <w:tcW w:w="9160" w:type="dxa"/>
            <w:gridSpan w:val="4"/>
            <w:vAlign w:val="center"/>
          </w:tcPr>
          <w:p>
            <w:pPr>
              <w:keepNext w:val="0"/>
              <w:keepLines w:val="0"/>
              <w:pageBreakBefore w:val="0"/>
              <w:widowControl/>
              <w:kinsoku/>
              <w:wordWrap/>
              <w:overflowPunct/>
              <w:topLinePunct w:val="0"/>
              <w:autoSpaceDE/>
              <w:autoSpaceDN/>
              <w:bidi w:val="0"/>
              <w:adjustRightInd/>
              <w:snapToGrid/>
              <w:spacing w:line="480" w:lineRule="exact"/>
              <w:ind w:right="-118" w:rightChars="-56" w:firstLine="640" w:firstLineChars="200"/>
              <w:jc w:val="left"/>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根据《生产安全事故应急预案管理办法》《生产安全事故应急</w:t>
            </w:r>
            <w:r>
              <w:rPr>
                <w:rFonts w:hint="eastAsia" w:ascii="仿宋_GB2312" w:hAnsi="宋体" w:eastAsia="仿宋_GB2312" w:cs="宋体"/>
                <w:color w:val="000000"/>
                <w:spacing w:val="-6"/>
                <w:kern w:val="0"/>
                <w:sz w:val="32"/>
                <w:szCs w:val="32"/>
              </w:rPr>
              <w:t>条例》等要求，泰安市泰山区住房和城乡建设局于2023年4</w:t>
            </w:r>
            <w:r>
              <w:rPr>
                <w:rFonts w:hint="eastAsia" w:ascii="仿宋_GB2312" w:hAnsi="宋体" w:eastAsia="仿宋_GB2312" w:cs="宋体"/>
                <w:color w:val="000000"/>
                <w:spacing w:val="-6"/>
                <w:kern w:val="0"/>
                <w:sz w:val="32"/>
                <w:szCs w:val="32"/>
                <w:lang w:eastAsia="zh-CN"/>
              </w:rPr>
              <w:t>月</w:t>
            </w:r>
            <w:r>
              <w:rPr>
                <w:rFonts w:hint="eastAsia" w:ascii="仿宋_GB2312" w:hAnsi="宋体" w:eastAsia="仿宋_GB2312" w:cs="宋体"/>
                <w:color w:val="000000"/>
                <w:kern w:val="0"/>
                <w:sz w:val="32"/>
                <w:szCs w:val="32"/>
              </w:rPr>
              <w:t>6日组织专家对《泰安市泰山区房屋建筑和市政工程建设生产安全事故应急救援预案》进行了评审，经评审认为:</w:t>
            </w:r>
          </w:p>
          <w:p>
            <w:pPr>
              <w:keepNext w:val="0"/>
              <w:keepLines w:val="0"/>
              <w:pageBreakBefore w:val="0"/>
              <w:widowControl/>
              <w:kinsoku/>
              <w:wordWrap/>
              <w:overflowPunct/>
              <w:topLinePunct w:val="0"/>
              <w:autoSpaceDE/>
              <w:autoSpaceDN/>
              <w:bidi w:val="0"/>
              <w:adjustRightInd/>
              <w:snapToGrid/>
              <w:spacing w:line="480" w:lineRule="exact"/>
              <w:ind w:right="-99" w:rightChars="-47" w:firstLine="640" w:firstLineChars="200"/>
              <w:jc w:val="left"/>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一、泰安市泰山区房屋建筑和市政工程建设生产安全事故应急救援预案格式、章节及总体内容基本符合有关规定要求，同意通过评审。</w:t>
            </w:r>
          </w:p>
          <w:p>
            <w:pPr>
              <w:keepNext w:val="0"/>
              <w:keepLines w:val="0"/>
              <w:pageBreakBefore w:val="0"/>
              <w:widowControl/>
              <w:kinsoku/>
              <w:wordWrap/>
              <w:overflowPunct/>
              <w:topLinePunct w:val="0"/>
              <w:autoSpaceDE/>
              <w:autoSpaceDN/>
              <w:bidi w:val="0"/>
              <w:adjustRightInd/>
              <w:snapToGrid/>
              <w:spacing w:line="480" w:lineRule="exact"/>
              <w:ind w:right="-237" w:rightChars="-113" w:firstLine="640" w:firstLineChars="200"/>
              <w:jc w:val="left"/>
              <w:textAlignment w:val="baseline"/>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二、要督促做好应急预案演练，对发现的问题要及时分析，并及时修订完善预案。 </w:t>
            </w:r>
          </w:p>
          <w:p>
            <w:pPr>
              <w:pStyle w:val="2"/>
              <w:rPr>
                <w:rFonts w:hint="eastAsia" w:ascii="仿宋_GB2312" w:hAnsi="宋体" w:eastAsia="仿宋_GB2312" w:cs="宋体"/>
                <w:color w:val="000000"/>
                <w:kern w:val="0"/>
                <w:sz w:val="32"/>
                <w:szCs w:val="32"/>
              </w:rPr>
            </w:pPr>
          </w:p>
          <w:p>
            <w:pPr>
              <w:widowControl w:val="0"/>
              <w:rPr>
                <w:rFonts w:hint="eastAsia"/>
              </w:rPr>
            </w:pPr>
          </w:p>
          <w:p>
            <w:pPr>
              <w:widowControl w:val="0"/>
              <w:ind w:firstLine="3840" w:firstLineChars="1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评审专家组组长签字:</w:t>
            </w:r>
          </w:p>
          <w:p>
            <w:pPr>
              <w:widowControl w:val="0"/>
              <w:ind w:firstLine="6080" w:firstLineChars="1900"/>
              <w:jc w:val="left"/>
              <w:rPr>
                <w:rFonts w:ascii="仿宋_GB2312" w:hAnsi="仿宋_GB2312" w:eastAsia="仿宋_GB2312" w:cs="仿宋_GB2312"/>
                <w:color w:val="FF0000"/>
                <w:sz w:val="32"/>
                <w:szCs w:val="32"/>
              </w:rPr>
            </w:pPr>
            <w:r>
              <w:rPr>
                <w:rFonts w:hint="eastAsia" w:ascii="仿宋_GB2312" w:hAnsi="宋体" w:eastAsia="仿宋_GB2312" w:cs="宋体"/>
                <w:color w:val="000000"/>
                <w:kern w:val="0"/>
                <w:sz w:val="32"/>
                <w:szCs w:val="32"/>
              </w:rPr>
              <w:t>2023年4月6日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160" w:type="dxa"/>
            <w:gridSpan w:val="4"/>
            <w:vAlign w:val="center"/>
          </w:tcPr>
          <w:p>
            <w:pPr>
              <w:widowControl w:val="0"/>
              <w:spacing w:line="5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评 审 组 成 员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widowControl w:val="0"/>
              <w:spacing w:line="5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姓 </w:t>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名</w:t>
            </w:r>
          </w:p>
        </w:tc>
        <w:tc>
          <w:tcPr>
            <w:tcW w:w="3969" w:type="dxa"/>
            <w:vAlign w:val="center"/>
          </w:tcPr>
          <w:p>
            <w:pPr>
              <w:widowControl w:val="0"/>
              <w:spacing w:line="5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    位</w:t>
            </w:r>
          </w:p>
        </w:tc>
        <w:tc>
          <w:tcPr>
            <w:tcW w:w="1843" w:type="dxa"/>
            <w:vAlign w:val="center"/>
          </w:tcPr>
          <w:p>
            <w:pPr>
              <w:widowControl w:val="0"/>
              <w:spacing w:line="5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职务职称</w:t>
            </w:r>
          </w:p>
        </w:tc>
        <w:tc>
          <w:tcPr>
            <w:tcW w:w="2106" w:type="dxa"/>
            <w:vAlign w:val="center"/>
          </w:tcPr>
          <w:p>
            <w:pPr>
              <w:widowControl w:val="0"/>
              <w:spacing w:line="500" w:lineRule="exact"/>
              <w:jc w:val="center"/>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王  楠</w:t>
            </w:r>
          </w:p>
        </w:tc>
        <w:tc>
          <w:tcPr>
            <w:tcW w:w="3969"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山东泰山普惠建工有限公司</w:t>
            </w:r>
          </w:p>
        </w:tc>
        <w:tc>
          <w:tcPr>
            <w:tcW w:w="1843"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高级工程师注册安全工程师</w:t>
            </w:r>
          </w:p>
        </w:tc>
        <w:tc>
          <w:tcPr>
            <w:tcW w:w="2106" w:type="dxa"/>
            <w:vAlign w:val="center"/>
          </w:tcPr>
          <w:p>
            <w:pPr>
              <w:widowControl w:val="0"/>
              <w:spacing w:line="500" w:lineRule="exact"/>
              <w:jc w:val="center"/>
              <w:rPr>
                <w:rFonts w:ascii="仿宋_GB2312" w:hAnsi="仿宋_GB2312" w:eastAsia="仿宋_GB2312" w:cs="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范纯立</w:t>
            </w:r>
          </w:p>
        </w:tc>
        <w:tc>
          <w:tcPr>
            <w:tcW w:w="3969"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泰山区房产管理服务中心</w:t>
            </w:r>
          </w:p>
        </w:tc>
        <w:tc>
          <w:tcPr>
            <w:tcW w:w="1843"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高级工程师</w:t>
            </w:r>
          </w:p>
        </w:tc>
        <w:tc>
          <w:tcPr>
            <w:tcW w:w="2106" w:type="dxa"/>
            <w:vAlign w:val="center"/>
          </w:tcPr>
          <w:p>
            <w:pPr>
              <w:widowControl w:val="0"/>
              <w:spacing w:line="500" w:lineRule="exact"/>
              <w:jc w:val="center"/>
              <w:rPr>
                <w:rFonts w:ascii="仿宋_GB2312" w:hAnsi="仿宋_GB2312" w:eastAsia="仿宋_GB2312" w:cs="仿宋_GB2312"/>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刘  建</w:t>
            </w:r>
          </w:p>
        </w:tc>
        <w:tc>
          <w:tcPr>
            <w:tcW w:w="3969"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泰山区城市建设指导服务中心</w:t>
            </w:r>
          </w:p>
        </w:tc>
        <w:tc>
          <w:tcPr>
            <w:tcW w:w="1843" w:type="dxa"/>
            <w:vAlign w:val="center"/>
          </w:tcPr>
          <w:p>
            <w:pPr>
              <w:widowControl w:val="0"/>
              <w:spacing w:line="500" w:lineRule="exact"/>
              <w:jc w:val="center"/>
              <w:rPr>
                <w:rFonts w:ascii="仿宋_GB2312" w:hAnsi="仿宋_GB2312" w:eastAsia="仿宋_GB2312" w:cs="仿宋_GB2312"/>
                <w:color w:val="000000" w:themeColor="text1"/>
                <w:sz w:val="28"/>
                <w:szCs w:val="28"/>
              </w:rPr>
            </w:pPr>
            <w:r>
              <w:rPr>
                <w:rFonts w:hint="eastAsia" w:ascii="仿宋_GB2312" w:hAnsi="仿宋_GB2312" w:eastAsia="仿宋_GB2312" w:cs="仿宋_GB2312"/>
                <w:color w:val="000000" w:themeColor="text1"/>
                <w:sz w:val="28"/>
                <w:szCs w:val="28"/>
              </w:rPr>
              <w:t>高级工程师</w:t>
            </w:r>
          </w:p>
        </w:tc>
        <w:tc>
          <w:tcPr>
            <w:tcW w:w="2106" w:type="dxa"/>
            <w:vAlign w:val="center"/>
          </w:tcPr>
          <w:p>
            <w:pPr>
              <w:widowControl w:val="0"/>
              <w:spacing w:line="500" w:lineRule="exact"/>
              <w:jc w:val="center"/>
              <w:rPr>
                <w:rFonts w:ascii="仿宋_GB2312" w:hAnsi="仿宋_GB2312" w:eastAsia="仿宋_GB2312" w:cs="仿宋_GB2312"/>
                <w:color w:val="000000" w:themeColor="text1"/>
                <w:sz w:val="32"/>
                <w:szCs w:val="32"/>
              </w:rPr>
            </w:pPr>
          </w:p>
        </w:tc>
      </w:tr>
    </w:tbl>
    <w:p>
      <w:pPr>
        <w:spacing w:line="500" w:lineRule="exact"/>
        <w:jc w:val="center"/>
        <w:sectPr>
          <w:footerReference r:id="rId5" w:type="default"/>
          <w:pgSz w:w="11906" w:h="16838"/>
          <w:pgMar w:top="1984" w:right="1531" w:bottom="1531" w:left="1531" w:header="851" w:footer="1247" w:gutter="0"/>
          <w:cols w:space="0" w:num="1"/>
          <w:docGrid w:type="lines" w:linePitch="312" w:charSpace="0"/>
        </w:sectPr>
      </w:pPr>
    </w:p>
    <w:p>
      <w:pPr>
        <w:pStyle w:val="2"/>
      </w:pPr>
    </w:p>
    <w:p>
      <w:pPr>
        <w:pStyle w:val="22"/>
        <w:widowControl w:val="0"/>
        <w:spacing w:before="0" w:beforeAutospacing="0" w:after="0" w:afterAutospacing="0" w:line="600" w:lineRule="exact"/>
        <w:ind w:firstLine="480" w:firstLineChars="200"/>
        <w:jc w:val="both"/>
        <w:rPr>
          <w:color w:val="FF0000"/>
        </w:rPr>
      </w:pPr>
    </w:p>
    <w:p>
      <w:pPr>
        <w:pStyle w:val="22"/>
        <w:widowControl w:val="0"/>
        <w:spacing w:before="0" w:beforeAutospacing="0" w:after="0" w:afterAutospacing="0" w:line="600" w:lineRule="exact"/>
        <w:ind w:firstLine="480" w:firstLineChars="200"/>
        <w:jc w:val="both"/>
        <w:rPr>
          <w:color w:val="FF0000"/>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spacing w:line="560" w:lineRule="exact"/>
        <w:ind w:left="1" w:firstLine="280" w:firstLineChars="100"/>
        <w:rPr>
          <w:rFonts w:ascii="仿宋_GB2312" w:eastAsia="仿宋_GB2312"/>
          <w:color w:val="000000"/>
          <w:sz w:val="28"/>
          <w:szCs w:val="28"/>
        </w:rPr>
      </w:pPr>
      <w:r>
        <w:rPr>
          <w:rFonts w:ascii="仿宋_GB2312" w:eastAsia="仿宋_GB2312"/>
          <w:color w:val="000000"/>
          <w:sz w:val="28"/>
          <w:szCs w:val="28"/>
        </w:rPr>
        <w:pict>
          <v:line id="_x0000_s1029" o:spid="_x0000_s1029" o:spt="20" style="position:absolute;left:0pt;margin-top:2pt;height:0pt;width:446.25pt;mso-position-horizontal:center;z-index:251664384;mso-width-relative:page;mso-height-relative:page;"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ulug/TAAAABAEAAA8AAAAAAAAAAQAgAAAAIgAAAGRycy9kb3ducmV2LnhtbFBL&#10;AQIUABQAAAAIAIdO4kBKoSgs+wEAAPQDAAAOAAAAAAAAAAEAIAAAACIBAABkcnMvZTJvRG9jLnht&#10;bFBLBQYAAAAABgAGAFkBAACPBQAAAAA=&#10;">
            <v:path arrowok="t"/>
            <v:fill focussize="0,0"/>
            <v:stroke/>
            <v:imagedata o:title=""/>
            <o:lock v:ext="edit"/>
          </v:line>
        </w:pic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ascii="仿宋_GB2312" w:eastAsia="仿宋_GB2312"/>
          <w:color w:val="000000"/>
          <w:sz w:val="28"/>
          <w:szCs w:val="28"/>
        </w:rPr>
      </w:pPr>
      <w:r>
        <w:rPr>
          <w:rFonts w:ascii="仿宋_GB2312" w:eastAsia="仿宋_GB2312"/>
          <w:color w:val="000000"/>
          <w:sz w:val="28"/>
          <w:szCs w:val="28"/>
        </w:rPr>
        <w:pict>
          <v:line id="_x0000_s1028" o:spid="_x0000_s1028" o:spt="20" style="position:absolute;left:0pt;margin-top:2pt;height:0pt;width:446.25pt;mso-position-horizontal:center;z-index:251665408;mso-width-relative:page;mso-height-relative:page;"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ulug/TAAAABAEAAA8AAAAAAAAAAQAgAAAAIgAAAGRycy9kb3ducmV2LnhtbFBL&#10;AQIUABQAAAAIAIdO4kAgcTbt+wEAAPQDAAAOAAAAAAAAAAEAIAAAACIBAABkcnMvZTJvRG9jLnht&#10;bFBLBQYAAAAABgAGAFkBAACPBQAAAAA=&#10;">
            <v:path arrowok="t"/>
            <v:fill focussize="0,0"/>
            <v:stroke/>
            <v:imagedata o:title=""/>
            <o:lock v:ext="edit"/>
          </v:line>
        </w:pict>
      </w:r>
      <w:r>
        <w:rPr>
          <w:rFonts w:hint="eastAsia" w:ascii="仿宋_GB2312" w:eastAsia="仿宋_GB2312"/>
          <w:color w:val="000000"/>
          <w:sz w:val="28"/>
          <w:szCs w:val="28"/>
        </w:rPr>
        <w:t xml:space="preserve">泰安市泰山区人民政府办公室                2023年6月5日印发 </w:t>
      </w:r>
    </w:p>
    <w:p>
      <w:pPr>
        <w:spacing w:line="300" w:lineRule="exact"/>
        <w:ind w:firstLine="640" w:firstLineChars="200"/>
        <w:rPr>
          <w:rFonts w:ascii="仿宋_GB2312" w:hAnsi="仿宋_GB2312" w:eastAsia="仿宋_GB2312" w:cs="仿宋_GB2312"/>
          <w:spacing w:val="17"/>
          <w:sz w:val="32"/>
          <w:szCs w:val="32"/>
        </w:rPr>
      </w:pPr>
      <w:r>
        <w:rPr>
          <w:rFonts w:ascii="仿宋_GB2312" w:eastAsia="仿宋_GB2312"/>
          <w:color w:val="000000"/>
          <w:sz w:val="32"/>
          <w:szCs w:val="32"/>
        </w:rPr>
        <w:pict>
          <v:line id="_x0000_s1027" o:spid="_x0000_s1027" o:spt="20" style="position:absolute;left:0pt;margin-left:-3pt;margin-top:3pt;height:0.05pt;width:446.7pt;z-index:251666432;mso-width-relative:page;mso-height-relative:page;"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vWBwNQAAAAGAQAADwAAAAAAAAABACAAAAAiAAAAZHJzL2Rvd25yZXYueG1s&#10;UEsBAhQAFAAAAAgAh07iQBsQpUD8AQAA9gMAAA4AAAAAAAAAAQAgAAAAIwEAAGRycy9lMm9Eb2Mu&#10;eG1sUEsFBgAAAAAGAAYAWQEAAJEFAAAAAA==&#10;">
            <v:path arrowok="t"/>
            <v:fill focussize="0,0"/>
            <v:stroke/>
            <v:imagedata o:title=""/>
            <o:lock v:ext="edit"/>
          </v:line>
        </w:pict>
      </w:r>
      <w:r>
        <w:rPr>
          <w:rFonts w:hint="eastAsia" w:ascii="仿宋_GB2312" w:eastAsia="仿宋_GB2312"/>
          <w:color w:val="000000"/>
          <w:sz w:val="32"/>
          <w:szCs w:val="32"/>
        </w:rPr>
        <w:t xml:space="preserve">         </w:t>
      </w:r>
    </w:p>
    <w:p>
      <w:pPr>
        <w:pStyle w:val="22"/>
        <w:widowControl w:val="0"/>
        <w:spacing w:before="0" w:beforeAutospacing="0" w:after="0" w:afterAutospacing="0" w:line="100" w:lineRule="exact"/>
        <w:jc w:val="both"/>
        <w:rPr>
          <w:color w:val="FF0000"/>
        </w:rPr>
      </w:pPr>
    </w:p>
    <w:sectPr>
      <w:footerReference r:id="rId6"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sz w:val="18"/>
      </w:rPr>
      <w:pict>
        <v:shape id="_x0000_s13317" o:spid="_x0000_s1331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sz w:val="18"/>
      </w:rPr>
      <w:pict>
        <v:shape id="_x0000_s13318" o:spid="_x0000_s1331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r>
      <w:rPr>
        <w:sz w:val="18"/>
      </w:rPr>
      <w:pict>
        <v:shape id="_x0000_s13320" o:spid="_x0000_s13320"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27</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677"/>
        <w:tab w:val="clear" w:pos="4153"/>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63"/>
  <w:displayHorizontalDrawingGridEvery w:val="2"/>
  <w:displayVerticalDrawingGridEvery w:val="2"/>
  <w:characterSpacingControl w:val="doNotCompress"/>
  <w:hdrShapeDefaults>
    <o:shapelayout v:ext="edit">
      <o:idmap v:ext="edit" data="13"/>
    </o:shapelayout>
  </w:hdrShapeDefaults>
  <w:compat>
    <w:balanceSingleByteDoubleByteWidth/>
    <w:doNotLeaveBackslashAlon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B32059"/>
    <w:rsid w:val="00007373"/>
    <w:rsid w:val="00010CE8"/>
    <w:rsid w:val="000129E1"/>
    <w:rsid w:val="00012D86"/>
    <w:rsid w:val="00013BAC"/>
    <w:rsid w:val="00020AF4"/>
    <w:rsid w:val="000429D7"/>
    <w:rsid w:val="00042A29"/>
    <w:rsid w:val="000462C9"/>
    <w:rsid w:val="00051479"/>
    <w:rsid w:val="00067236"/>
    <w:rsid w:val="00071669"/>
    <w:rsid w:val="000933C3"/>
    <w:rsid w:val="000A3371"/>
    <w:rsid w:val="000A41FF"/>
    <w:rsid w:val="000C3138"/>
    <w:rsid w:val="000D546B"/>
    <w:rsid w:val="000D566E"/>
    <w:rsid w:val="000E475E"/>
    <w:rsid w:val="000F7405"/>
    <w:rsid w:val="000F7BDB"/>
    <w:rsid w:val="00130BEF"/>
    <w:rsid w:val="00142E84"/>
    <w:rsid w:val="00144FF0"/>
    <w:rsid w:val="0015794D"/>
    <w:rsid w:val="001817B1"/>
    <w:rsid w:val="00187B6A"/>
    <w:rsid w:val="00195EDC"/>
    <w:rsid w:val="00196893"/>
    <w:rsid w:val="00196BF2"/>
    <w:rsid w:val="001A762B"/>
    <w:rsid w:val="001A7CEA"/>
    <w:rsid w:val="001B61FD"/>
    <w:rsid w:val="001B7BEF"/>
    <w:rsid w:val="001D19B5"/>
    <w:rsid w:val="001D65AC"/>
    <w:rsid w:val="001D7736"/>
    <w:rsid w:val="001E4ECF"/>
    <w:rsid w:val="001F52BA"/>
    <w:rsid w:val="001F7E9C"/>
    <w:rsid w:val="0020090B"/>
    <w:rsid w:val="00203E3B"/>
    <w:rsid w:val="00211CE7"/>
    <w:rsid w:val="00220E1D"/>
    <w:rsid w:val="00226A01"/>
    <w:rsid w:val="00231179"/>
    <w:rsid w:val="00236ADC"/>
    <w:rsid w:val="002707C8"/>
    <w:rsid w:val="00272189"/>
    <w:rsid w:val="00274A1B"/>
    <w:rsid w:val="0027686D"/>
    <w:rsid w:val="00282FD5"/>
    <w:rsid w:val="00290A40"/>
    <w:rsid w:val="002A11F4"/>
    <w:rsid w:val="002B0E48"/>
    <w:rsid w:val="002B1844"/>
    <w:rsid w:val="002B196B"/>
    <w:rsid w:val="002B71E6"/>
    <w:rsid w:val="002D32A1"/>
    <w:rsid w:val="002D5998"/>
    <w:rsid w:val="002E7802"/>
    <w:rsid w:val="003008EC"/>
    <w:rsid w:val="0030774D"/>
    <w:rsid w:val="00307B58"/>
    <w:rsid w:val="00307F8A"/>
    <w:rsid w:val="003121F1"/>
    <w:rsid w:val="00317D32"/>
    <w:rsid w:val="00320AFB"/>
    <w:rsid w:val="00325C36"/>
    <w:rsid w:val="00331247"/>
    <w:rsid w:val="003471C1"/>
    <w:rsid w:val="00383A01"/>
    <w:rsid w:val="003A1C8C"/>
    <w:rsid w:val="003A7DE3"/>
    <w:rsid w:val="003D0C45"/>
    <w:rsid w:val="003D2447"/>
    <w:rsid w:val="003D3147"/>
    <w:rsid w:val="003E3008"/>
    <w:rsid w:val="00401ED3"/>
    <w:rsid w:val="00407F54"/>
    <w:rsid w:val="0041144E"/>
    <w:rsid w:val="00412B8D"/>
    <w:rsid w:val="004211D3"/>
    <w:rsid w:val="0042756E"/>
    <w:rsid w:val="00443480"/>
    <w:rsid w:val="004563E5"/>
    <w:rsid w:val="00461667"/>
    <w:rsid w:val="004622C9"/>
    <w:rsid w:val="00463706"/>
    <w:rsid w:val="004A42C8"/>
    <w:rsid w:val="004B1F92"/>
    <w:rsid w:val="004B7473"/>
    <w:rsid w:val="004C19DB"/>
    <w:rsid w:val="004C2AD1"/>
    <w:rsid w:val="004C31BD"/>
    <w:rsid w:val="004C3F8E"/>
    <w:rsid w:val="004C4E80"/>
    <w:rsid w:val="004C6BE9"/>
    <w:rsid w:val="004D4A6D"/>
    <w:rsid w:val="004F30CA"/>
    <w:rsid w:val="004F3AAA"/>
    <w:rsid w:val="00511F8D"/>
    <w:rsid w:val="00514E8B"/>
    <w:rsid w:val="0053417D"/>
    <w:rsid w:val="00537032"/>
    <w:rsid w:val="00541185"/>
    <w:rsid w:val="0054459F"/>
    <w:rsid w:val="005451BF"/>
    <w:rsid w:val="00552B2A"/>
    <w:rsid w:val="005727A9"/>
    <w:rsid w:val="00581E1B"/>
    <w:rsid w:val="00584633"/>
    <w:rsid w:val="00591839"/>
    <w:rsid w:val="005A2561"/>
    <w:rsid w:val="005A73F7"/>
    <w:rsid w:val="005B3E94"/>
    <w:rsid w:val="005E1C8E"/>
    <w:rsid w:val="005E663E"/>
    <w:rsid w:val="005E6E17"/>
    <w:rsid w:val="005F4C40"/>
    <w:rsid w:val="005F7699"/>
    <w:rsid w:val="00624B4F"/>
    <w:rsid w:val="006353F7"/>
    <w:rsid w:val="00636FD0"/>
    <w:rsid w:val="00641B58"/>
    <w:rsid w:val="00643B8F"/>
    <w:rsid w:val="00664960"/>
    <w:rsid w:val="006834D9"/>
    <w:rsid w:val="00683C70"/>
    <w:rsid w:val="00687A85"/>
    <w:rsid w:val="006B38F3"/>
    <w:rsid w:val="006C189E"/>
    <w:rsid w:val="006C67D5"/>
    <w:rsid w:val="006D0B91"/>
    <w:rsid w:val="006D0E07"/>
    <w:rsid w:val="006D5820"/>
    <w:rsid w:val="006E0A44"/>
    <w:rsid w:val="006E20B4"/>
    <w:rsid w:val="006E3465"/>
    <w:rsid w:val="006F0E21"/>
    <w:rsid w:val="006F7746"/>
    <w:rsid w:val="0071296C"/>
    <w:rsid w:val="007173E0"/>
    <w:rsid w:val="00721404"/>
    <w:rsid w:val="00731B41"/>
    <w:rsid w:val="007531F2"/>
    <w:rsid w:val="0075737A"/>
    <w:rsid w:val="00782CA3"/>
    <w:rsid w:val="00787DE6"/>
    <w:rsid w:val="00792008"/>
    <w:rsid w:val="007A310F"/>
    <w:rsid w:val="007A44DC"/>
    <w:rsid w:val="007B42A8"/>
    <w:rsid w:val="007D1AD2"/>
    <w:rsid w:val="007D2C6F"/>
    <w:rsid w:val="007D5814"/>
    <w:rsid w:val="007F4FA3"/>
    <w:rsid w:val="00801514"/>
    <w:rsid w:val="00812F95"/>
    <w:rsid w:val="00824217"/>
    <w:rsid w:val="0083117B"/>
    <w:rsid w:val="00845AF4"/>
    <w:rsid w:val="00850C16"/>
    <w:rsid w:val="008533F5"/>
    <w:rsid w:val="00854C96"/>
    <w:rsid w:val="008608BA"/>
    <w:rsid w:val="00860A74"/>
    <w:rsid w:val="00860F84"/>
    <w:rsid w:val="00861F64"/>
    <w:rsid w:val="00880663"/>
    <w:rsid w:val="00892411"/>
    <w:rsid w:val="008A23AF"/>
    <w:rsid w:val="008B2209"/>
    <w:rsid w:val="008C4506"/>
    <w:rsid w:val="008D7074"/>
    <w:rsid w:val="008F76D1"/>
    <w:rsid w:val="009003A2"/>
    <w:rsid w:val="00902B64"/>
    <w:rsid w:val="00905049"/>
    <w:rsid w:val="00905901"/>
    <w:rsid w:val="009069EA"/>
    <w:rsid w:val="0091210E"/>
    <w:rsid w:val="00914949"/>
    <w:rsid w:val="00952F94"/>
    <w:rsid w:val="0095496E"/>
    <w:rsid w:val="00956D6B"/>
    <w:rsid w:val="00975661"/>
    <w:rsid w:val="00976957"/>
    <w:rsid w:val="0098214A"/>
    <w:rsid w:val="00987720"/>
    <w:rsid w:val="009912F6"/>
    <w:rsid w:val="00995425"/>
    <w:rsid w:val="00996D40"/>
    <w:rsid w:val="009A0F6D"/>
    <w:rsid w:val="009A7FF8"/>
    <w:rsid w:val="009B2151"/>
    <w:rsid w:val="009C2BB0"/>
    <w:rsid w:val="009E72BE"/>
    <w:rsid w:val="00A0158B"/>
    <w:rsid w:val="00A223C0"/>
    <w:rsid w:val="00A26350"/>
    <w:rsid w:val="00A31657"/>
    <w:rsid w:val="00A33B49"/>
    <w:rsid w:val="00A42803"/>
    <w:rsid w:val="00A62EEB"/>
    <w:rsid w:val="00A81F4A"/>
    <w:rsid w:val="00A828CF"/>
    <w:rsid w:val="00AA5B81"/>
    <w:rsid w:val="00AB2A46"/>
    <w:rsid w:val="00AC1572"/>
    <w:rsid w:val="00AC46D0"/>
    <w:rsid w:val="00AE13AD"/>
    <w:rsid w:val="00AF6EF5"/>
    <w:rsid w:val="00B01E7B"/>
    <w:rsid w:val="00B11FC6"/>
    <w:rsid w:val="00B1337C"/>
    <w:rsid w:val="00B2121B"/>
    <w:rsid w:val="00B2346C"/>
    <w:rsid w:val="00B32059"/>
    <w:rsid w:val="00B33E9F"/>
    <w:rsid w:val="00B43AF3"/>
    <w:rsid w:val="00B53380"/>
    <w:rsid w:val="00B7300F"/>
    <w:rsid w:val="00B82D52"/>
    <w:rsid w:val="00B87E6B"/>
    <w:rsid w:val="00B9239E"/>
    <w:rsid w:val="00BA3621"/>
    <w:rsid w:val="00BA5189"/>
    <w:rsid w:val="00BB248A"/>
    <w:rsid w:val="00BB5666"/>
    <w:rsid w:val="00BC0657"/>
    <w:rsid w:val="00BC6266"/>
    <w:rsid w:val="00BD599E"/>
    <w:rsid w:val="00C10549"/>
    <w:rsid w:val="00C21545"/>
    <w:rsid w:val="00C22F25"/>
    <w:rsid w:val="00C25DDD"/>
    <w:rsid w:val="00C361D5"/>
    <w:rsid w:val="00C36A58"/>
    <w:rsid w:val="00C467C7"/>
    <w:rsid w:val="00C51E34"/>
    <w:rsid w:val="00C530B4"/>
    <w:rsid w:val="00C55E69"/>
    <w:rsid w:val="00C725B8"/>
    <w:rsid w:val="00C76B27"/>
    <w:rsid w:val="00C80904"/>
    <w:rsid w:val="00C828E9"/>
    <w:rsid w:val="00C851C5"/>
    <w:rsid w:val="00C94D83"/>
    <w:rsid w:val="00C95EB0"/>
    <w:rsid w:val="00C97B63"/>
    <w:rsid w:val="00CA31E0"/>
    <w:rsid w:val="00CA777D"/>
    <w:rsid w:val="00CB463D"/>
    <w:rsid w:val="00CC590C"/>
    <w:rsid w:val="00CD16F1"/>
    <w:rsid w:val="00CD567D"/>
    <w:rsid w:val="00CE0AE1"/>
    <w:rsid w:val="00CE31B4"/>
    <w:rsid w:val="00CF0188"/>
    <w:rsid w:val="00CF1783"/>
    <w:rsid w:val="00D201B3"/>
    <w:rsid w:val="00D25096"/>
    <w:rsid w:val="00D425DD"/>
    <w:rsid w:val="00D5137E"/>
    <w:rsid w:val="00D52B29"/>
    <w:rsid w:val="00D624EB"/>
    <w:rsid w:val="00D82011"/>
    <w:rsid w:val="00D85D28"/>
    <w:rsid w:val="00D92827"/>
    <w:rsid w:val="00DA4621"/>
    <w:rsid w:val="00DA7493"/>
    <w:rsid w:val="00DB5C7A"/>
    <w:rsid w:val="00DC34E7"/>
    <w:rsid w:val="00DD66D9"/>
    <w:rsid w:val="00DD7168"/>
    <w:rsid w:val="00DE6429"/>
    <w:rsid w:val="00E00131"/>
    <w:rsid w:val="00E03A03"/>
    <w:rsid w:val="00E043B6"/>
    <w:rsid w:val="00E27530"/>
    <w:rsid w:val="00E375F3"/>
    <w:rsid w:val="00E41367"/>
    <w:rsid w:val="00E43E93"/>
    <w:rsid w:val="00E5031F"/>
    <w:rsid w:val="00E5760D"/>
    <w:rsid w:val="00E61D80"/>
    <w:rsid w:val="00E72352"/>
    <w:rsid w:val="00E87307"/>
    <w:rsid w:val="00E92434"/>
    <w:rsid w:val="00EA0C4A"/>
    <w:rsid w:val="00EB00EF"/>
    <w:rsid w:val="00EC2925"/>
    <w:rsid w:val="00EC441E"/>
    <w:rsid w:val="00ED0389"/>
    <w:rsid w:val="00ED3936"/>
    <w:rsid w:val="00EE37D8"/>
    <w:rsid w:val="00EE4C5C"/>
    <w:rsid w:val="00EE4FD8"/>
    <w:rsid w:val="00F207AC"/>
    <w:rsid w:val="00F254D2"/>
    <w:rsid w:val="00F25A6A"/>
    <w:rsid w:val="00F34DC8"/>
    <w:rsid w:val="00F67316"/>
    <w:rsid w:val="00FA493C"/>
    <w:rsid w:val="00FA4F97"/>
    <w:rsid w:val="00FA597A"/>
    <w:rsid w:val="00FA726E"/>
    <w:rsid w:val="00FB77FD"/>
    <w:rsid w:val="00FB7F78"/>
    <w:rsid w:val="00FD6B2C"/>
    <w:rsid w:val="00FE08EC"/>
    <w:rsid w:val="00FE3877"/>
    <w:rsid w:val="00FE46AE"/>
    <w:rsid w:val="00FF693D"/>
    <w:rsid w:val="034F49E4"/>
    <w:rsid w:val="041807BB"/>
    <w:rsid w:val="0A37706C"/>
    <w:rsid w:val="0A8C0317"/>
    <w:rsid w:val="0C627A43"/>
    <w:rsid w:val="0D096C98"/>
    <w:rsid w:val="10834B5E"/>
    <w:rsid w:val="11D731FF"/>
    <w:rsid w:val="13283A05"/>
    <w:rsid w:val="143D1736"/>
    <w:rsid w:val="17776AD4"/>
    <w:rsid w:val="17FB49D5"/>
    <w:rsid w:val="1C711C06"/>
    <w:rsid w:val="1CDC1A13"/>
    <w:rsid w:val="1E7E5DA0"/>
    <w:rsid w:val="1FB859FD"/>
    <w:rsid w:val="23B30E35"/>
    <w:rsid w:val="23FA4EFE"/>
    <w:rsid w:val="267A080E"/>
    <w:rsid w:val="2C0A5C43"/>
    <w:rsid w:val="2DCF58C3"/>
    <w:rsid w:val="377B2898"/>
    <w:rsid w:val="390D7728"/>
    <w:rsid w:val="453F7EE3"/>
    <w:rsid w:val="458F1A14"/>
    <w:rsid w:val="46E914A6"/>
    <w:rsid w:val="47DB28E1"/>
    <w:rsid w:val="51CF7D67"/>
    <w:rsid w:val="54EF0E64"/>
    <w:rsid w:val="578364FC"/>
    <w:rsid w:val="62517694"/>
    <w:rsid w:val="66652D9D"/>
    <w:rsid w:val="6D4F23F9"/>
    <w:rsid w:val="77CA644F"/>
    <w:rsid w:val="789A2F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libri Light" w:hAnsi="Calibri Light"/>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widowControl w:val="0"/>
      <w:textAlignment w:val="auto"/>
    </w:pPr>
    <w:rPr>
      <w:rFonts w:ascii="Times New Roman" w:hAnsi="Times New Roman"/>
    </w:rPr>
  </w:style>
  <w:style w:type="paragraph" w:styleId="4">
    <w:name w:val="Body Text"/>
    <w:basedOn w:val="1"/>
    <w:link w:val="28"/>
    <w:qFormat/>
    <w:uiPriority w:val="99"/>
    <w:pPr>
      <w:spacing w:before="100" w:beforeAutospacing="1" w:after="100" w:afterAutospacing="1"/>
      <w:jc w:val="left"/>
      <w:textAlignment w:val="auto"/>
    </w:pPr>
    <w:rPr>
      <w:rFonts w:ascii="宋体" w:hAnsi="宋体"/>
      <w:kern w:val="0"/>
      <w:sz w:val="24"/>
    </w:rPr>
  </w:style>
  <w:style w:type="paragraph" w:styleId="5">
    <w:name w:val="Body Text Indent"/>
    <w:basedOn w:val="1"/>
    <w:link w:val="29"/>
    <w:qFormat/>
    <w:uiPriority w:val="0"/>
    <w:pPr>
      <w:spacing w:before="100" w:beforeAutospacing="1" w:after="100" w:afterAutospacing="1"/>
      <w:jc w:val="left"/>
      <w:textAlignment w:val="auto"/>
    </w:pPr>
    <w:rPr>
      <w:rFonts w:ascii="宋体" w:hAnsi="宋体"/>
      <w:kern w:val="0"/>
      <w:sz w:val="24"/>
    </w:rPr>
  </w:style>
  <w:style w:type="paragraph" w:styleId="6">
    <w:name w:val="Plain Text"/>
    <w:basedOn w:val="1"/>
    <w:link w:val="30"/>
    <w:qFormat/>
    <w:uiPriority w:val="0"/>
    <w:pPr>
      <w:spacing w:before="100" w:beforeAutospacing="1" w:after="100" w:afterAutospacing="1"/>
      <w:jc w:val="left"/>
      <w:textAlignment w:val="auto"/>
    </w:pPr>
    <w:rPr>
      <w:rFonts w:ascii="宋体" w:hAnsi="宋体" w:cs="宋体"/>
      <w:kern w:val="0"/>
      <w:sz w:val="24"/>
    </w:rPr>
  </w:style>
  <w:style w:type="paragraph" w:styleId="7">
    <w:name w:val="footer"/>
    <w:basedOn w:val="1"/>
    <w:link w:val="27"/>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widowControl w:val="0"/>
      <w:ind w:left="420" w:leftChars="200"/>
      <w:textAlignment w:val="auto"/>
    </w:pPr>
    <w:rPr>
      <w:rFonts w:ascii="Times New Roman" w:hAnsi="Times New Roman"/>
    </w:rPr>
  </w:style>
  <w:style w:type="paragraph" w:styleId="10">
    <w:name w:val="Body Text 2"/>
    <w:basedOn w:val="1"/>
    <w:link w:val="31"/>
    <w:qFormat/>
    <w:uiPriority w:val="0"/>
    <w:pPr>
      <w:spacing w:before="100" w:beforeAutospacing="1" w:after="100" w:afterAutospacing="1"/>
      <w:jc w:val="left"/>
      <w:textAlignment w:val="auto"/>
    </w:pPr>
    <w:rPr>
      <w:rFonts w:ascii="宋体" w:hAnsi="宋体"/>
      <w:kern w:val="0"/>
      <w:sz w:val="24"/>
    </w:rPr>
  </w:style>
  <w:style w:type="paragraph" w:styleId="11">
    <w:name w:val="Normal (Web)"/>
    <w:basedOn w:val="1"/>
    <w:unhideWhenUsed/>
    <w:qFormat/>
    <w:uiPriority w:val="0"/>
    <w:pPr>
      <w:spacing w:before="100" w:beforeAutospacing="1" w:after="100" w:afterAutospacing="1"/>
      <w:jc w:val="left"/>
      <w:textAlignment w:val="auto"/>
    </w:pPr>
    <w:rPr>
      <w:rFonts w:ascii="宋体" w:hAnsi="宋体" w:cs="宋体"/>
      <w:kern w:val="0"/>
      <w:sz w:val="24"/>
    </w:rPr>
  </w:style>
  <w:style w:type="paragraph" w:styleId="12">
    <w:name w:val="Body Text First Indent"/>
    <w:basedOn w:val="4"/>
    <w:link w:val="32"/>
    <w:qFormat/>
    <w:uiPriority w:val="0"/>
    <w:pPr>
      <w:spacing w:after="120"/>
      <w:ind w:firstLine="420" w:firstLineChars="100"/>
    </w:pPr>
    <w:rPr>
      <w:sz w:val="21"/>
    </w:rPr>
  </w:style>
  <w:style w:type="paragraph" w:styleId="13">
    <w:name w:val="Body Text First Indent 2"/>
    <w:basedOn w:val="5"/>
    <w:link w:val="33"/>
    <w:unhideWhenUsed/>
    <w:qFormat/>
    <w:uiPriority w:val="0"/>
    <w:pPr>
      <w:ind w:left="420" w:leftChars="200" w:firstLine="210"/>
    </w:pPr>
    <w:rPr>
      <w:rFonts w:ascii="Times New Roman" w:hAnsi="Times New Roman"/>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9"/>
    <w:qFormat/>
    <w:uiPriority w:val="0"/>
    <w:rPr>
      <w:color w:val="0000FF"/>
      <w:u w:val="single"/>
    </w:rPr>
  </w:style>
  <w:style w:type="character" w:customStyle="1" w:styleId="19">
    <w:name w:val="NormalCharacter"/>
    <w:semiHidden/>
    <w:qFormat/>
    <w:uiPriority w:val="99"/>
  </w:style>
  <w:style w:type="table" w:customStyle="1" w:styleId="20">
    <w:name w:val="TableNormal"/>
    <w:semiHidden/>
    <w:qFormat/>
    <w:uiPriority w:val="0"/>
    <w:tblPr>
      <w:tblCellMar>
        <w:top w:w="0" w:type="dxa"/>
        <w:left w:w="0" w:type="dxa"/>
        <w:bottom w:w="0" w:type="dxa"/>
        <w:right w:w="0" w:type="dxa"/>
      </w:tblCellMar>
    </w:tblPr>
  </w:style>
  <w:style w:type="paragraph" w:customStyle="1" w:styleId="21">
    <w:name w:val="TOC1"/>
    <w:basedOn w:val="1"/>
    <w:next w:val="1"/>
    <w:qFormat/>
    <w:uiPriority w:val="0"/>
    <w:pPr>
      <w:snapToGrid w:val="0"/>
      <w:spacing w:line="640" w:lineRule="exact"/>
      <w:ind w:firstLine="705"/>
    </w:pPr>
    <w:rPr>
      <w:color w:val="000000"/>
      <w:sz w:val="36"/>
      <w:szCs w:val="36"/>
    </w:rPr>
  </w:style>
  <w:style w:type="paragraph" w:customStyle="1" w:styleId="22">
    <w:name w:val="HtmlNormal"/>
    <w:basedOn w:val="1"/>
    <w:qFormat/>
    <w:uiPriority w:val="99"/>
    <w:pPr>
      <w:spacing w:before="100" w:beforeAutospacing="1" w:after="100" w:afterAutospacing="1"/>
      <w:jc w:val="left"/>
    </w:pPr>
    <w:rPr>
      <w:kern w:val="0"/>
      <w:sz w:val="24"/>
    </w:rPr>
  </w:style>
  <w:style w:type="paragraph" w:customStyle="1" w:styleId="23">
    <w:name w:val="UserStyle_0"/>
    <w:basedOn w:val="24"/>
    <w:qFormat/>
    <w:uiPriority w:val="0"/>
    <w:pPr>
      <w:jc w:val="left"/>
    </w:pPr>
    <w:rPr>
      <w:rFonts w:ascii="Times New Roman" w:hAnsi="Times New Roman" w:eastAsia="宋体"/>
      <w:kern w:val="0"/>
      <w:sz w:val="24"/>
    </w:rPr>
  </w:style>
  <w:style w:type="paragraph" w:customStyle="1" w:styleId="24">
    <w:name w:val="UserStyle_1"/>
    <w:next w:val="25"/>
    <w:qFormat/>
    <w:uiPriority w:val="0"/>
    <w:pPr>
      <w:jc w:val="both"/>
      <w:textAlignment w:val="baseline"/>
    </w:pPr>
    <w:rPr>
      <w:rFonts w:ascii="Calibri" w:hAnsi="Calibri" w:eastAsia="仿宋" w:cs="Times New Roman"/>
      <w:kern w:val="2"/>
      <w:sz w:val="32"/>
      <w:szCs w:val="32"/>
      <w:lang w:val="en-US" w:eastAsia="zh-CN" w:bidi="ar-SA"/>
    </w:rPr>
  </w:style>
  <w:style w:type="paragraph" w:customStyle="1" w:styleId="25">
    <w:name w:val="UserStyle_2"/>
    <w:basedOn w:val="24"/>
    <w:qFormat/>
    <w:uiPriority w:val="0"/>
    <w:pPr>
      <w:spacing w:before="100" w:beforeAutospacing="1" w:after="120"/>
    </w:pPr>
    <w:rPr>
      <w:rFonts w:ascii="Times New Roman" w:hAnsi="Times New Roman" w:eastAsia="宋体"/>
      <w:szCs w:val="21"/>
    </w:rPr>
  </w:style>
  <w:style w:type="character" w:customStyle="1" w:styleId="26">
    <w:name w:val="页眉 Char"/>
    <w:basedOn w:val="16"/>
    <w:link w:val="8"/>
    <w:semiHidden/>
    <w:qFormat/>
    <w:uiPriority w:val="99"/>
    <w:rPr>
      <w:rFonts w:ascii="Calibri" w:hAnsi="Calibri"/>
      <w:kern w:val="2"/>
      <w:sz w:val="18"/>
      <w:szCs w:val="18"/>
    </w:rPr>
  </w:style>
  <w:style w:type="character" w:customStyle="1" w:styleId="27">
    <w:name w:val="页脚 Char"/>
    <w:basedOn w:val="16"/>
    <w:link w:val="7"/>
    <w:semiHidden/>
    <w:qFormat/>
    <w:uiPriority w:val="99"/>
    <w:rPr>
      <w:rFonts w:ascii="Calibri" w:hAnsi="Calibri"/>
      <w:kern w:val="2"/>
      <w:sz w:val="18"/>
      <w:szCs w:val="18"/>
    </w:rPr>
  </w:style>
  <w:style w:type="character" w:customStyle="1" w:styleId="28">
    <w:name w:val="正文文本 Char"/>
    <w:basedOn w:val="16"/>
    <w:link w:val="4"/>
    <w:qFormat/>
    <w:uiPriority w:val="99"/>
    <w:rPr>
      <w:rFonts w:ascii="宋体" w:hAnsi="宋体"/>
      <w:sz w:val="24"/>
      <w:szCs w:val="24"/>
    </w:rPr>
  </w:style>
  <w:style w:type="character" w:customStyle="1" w:styleId="29">
    <w:name w:val="正文文本缩进 Char"/>
    <w:basedOn w:val="16"/>
    <w:link w:val="5"/>
    <w:qFormat/>
    <w:uiPriority w:val="0"/>
    <w:rPr>
      <w:rFonts w:ascii="宋体" w:hAnsi="宋体"/>
      <w:sz w:val="24"/>
      <w:szCs w:val="24"/>
    </w:rPr>
  </w:style>
  <w:style w:type="character" w:customStyle="1" w:styleId="30">
    <w:name w:val="纯文本 Char"/>
    <w:basedOn w:val="16"/>
    <w:link w:val="6"/>
    <w:qFormat/>
    <w:uiPriority w:val="0"/>
    <w:rPr>
      <w:rFonts w:ascii="宋体" w:hAnsi="宋体" w:cs="宋体"/>
      <w:sz w:val="24"/>
      <w:szCs w:val="24"/>
    </w:rPr>
  </w:style>
  <w:style w:type="character" w:customStyle="1" w:styleId="31">
    <w:name w:val="正文文本 2 Char"/>
    <w:basedOn w:val="16"/>
    <w:link w:val="10"/>
    <w:qFormat/>
    <w:uiPriority w:val="0"/>
    <w:rPr>
      <w:rFonts w:ascii="宋体" w:hAnsi="宋体"/>
      <w:sz w:val="24"/>
      <w:szCs w:val="24"/>
    </w:rPr>
  </w:style>
  <w:style w:type="character" w:customStyle="1" w:styleId="32">
    <w:name w:val="正文首行缩进 Char"/>
    <w:basedOn w:val="28"/>
    <w:link w:val="12"/>
    <w:qFormat/>
    <w:uiPriority w:val="0"/>
    <w:rPr>
      <w:sz w:val="21"/>
    </w:rPr>
  </w:style>
  <w:style w:type="character" w:customStyle="1" w:styleId="33">
    <w:name w:val="正文首行缩进 2 Char"/>
    <w:basedOn w:val="29"/>
    <w:link w:val="13"/>
    <w:qFormat/>
    <w:uiPriority w:val="0"/>
    <w:rPr>
      <w:sz w:val="21"/>
    </w:rPr>
  </w:style>
  <w:style w:type="character" w:customStyle="1" w:styleId="34">
    <w:name w:val="font31"/>
    <w:basedOn w:val="16"/>
    <w:qFormat/>
    <w:uiPriority w:val="0"/>
    <w:rPr>
      <w:rFonts w:hint="default" w:ascii="仿宋_GB2312" w:eastAsia="仿宋_GB2312" w:cs="仿宋_GB2312"/>
      <w:color w:val="000000"/>
      <w:sz w:val="24"/>
      <w:szCs w:val="24"/>
      <w:u w:val="none"/>
    </w:rPr>
  </w:style>
  <w:style w:type="character" w:customStyle="1" w:styleId="35">
    <w:name w:val="font41"/>
    <w:basedOn w:val="16"/>
    <w:qFormat/>
    <w:uiPriority w:val="0"/>
    <w:rPr>
      <w:rFonts w:hint="default" w:ascii="仿宋_GB2312" w:eastAsia="仿宋_GB2312" w:cs="仿宋_GB2312"/>
      <w:color w:val="000000"/>
      <w:sz w:val="24"/>
      <w:szCs w:val="24"/>
      <w:u w:val="none"/>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_Style 11"/>
    <w:basedOn w:val="1"/>
    <w:qFormat/>
    <w:uiPriority w:val="0"/>
    <w:pPr>
      <w:widowControl w:val="0"/>
      <w:textAlignment w:val="auto"/>
    </w:pPr>
    <w:rPr>
      <w:rFonts w:ascii="Times New Roman" w:hAnsi="Times New Roman"/>
    </w:rPr>
  </w:style>
  <w:style w:type="paragraph" w:customStyle="1" w:styleId="38">
    <w:name w:val="一级条标题"/>
    <w:next w:val="36"/>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章标题"/>
    <w:next w:val="36"/>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终结线"/>
    <w:basedOn w:val="1"/>
    <w:qFormat/>
    <w:uiPriority w:val="0"/>
    <w:pPr>
      <w:framePr w:hSpace="181" w:vSpace="181" w:wrap="around" w:vAnchor="text" w:hAnchor="margin" w:xAlign="center" w:y="285"/>
      <w:widowControl w:val="0"/>
      <w:textAlignment w:val="auto"/>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3317" textRotate="1"/>
    <customShpInfo spid="_x0000_s13318" textRotate="1"/>
    <customShpInfo spid="_x0000_s13320" textRotate="1"/>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7118</Words>
  <Characters>7349</Characters>
  <Lines>63</Lines>
  <Paragraphs>17</Paragraphs>
  <TotalTime>17</TotalTime>
  <ScaleCrop>false</ScaleCrop>
  <LinksUpToDate>false</LinksUpToDate>
  <CharactersWithSpaces>7592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2023-05-11T08:08:00Z</dcterms:created>
  <dc:creator>Administrator</dc:creator>
  <cp:lastModifiedBy>似曾相识</cp:lastModifiedBy>
  <cp:lastPrinted>2023-06-07T07:05:00Z</cp:lastPrinted>
  <dcterms:modified xsi:type="dcterms:W3CDTF">2023-07-19T05:45:10Z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DEBF7D0AC6D849E08AA9A558E55C284D_13</vt:lpwstr>
  </property>
</Properties>
</file>