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泰安市生态环境局泰山分局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信息公开工作年度报告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val="en" w:eastAsia="zh-CN"/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年，泰安市生态环境局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</w:rPr>
        <w:t>泰山分局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坚持以习近平生态文明思想为指导，聚焦深入打好污染防治攻坚战，认真贯彻落实《中华人民共和国政府信息公开条例》，充分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依托区政府政务公开平台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持续做好信息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</w:rPr>
        <w:t>公开工作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，不断提高工作透明度，有效保障了群众的知情权、参与权、监督权。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仿宋_GB2312" w:eastAsia="仿宋_GB2312"/>
          <w:b w:val="0"/>
          <w:bCs w:val="0"/>
          <w:color w:val="FF0000"/>
          <w:sz w:val="32"/>
          <w:szCs w:val="32"/>
          <w:lang w:val="e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围绕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市区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中心工作，针对群众关心的空气环境质量、水环境质量、“双随机、一公开”执法等重点领域，依托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区政府网站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，全面做好政府信息公开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工作。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全年通过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区政府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网站公开机关设置、财政预决算、行政权力运行公开等信息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82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条，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切实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了政务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公开质量和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实效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年，我局共收到政府信息公开申请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条，受理依申请公开信息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条。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主要涉及企业环评信息以及排污信息等，均依法合规答复，无复议诉讼情形，申请数量比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2023年多5条，未收取信息处理费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/>
        </w:rPr>
        <w:t>。</w:t>
      </w:r>
    </w:p>
    <w:p>
      <w:pPr>
        <w:ind w:firstLine="642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不断加强政府信息管理工作，进一步规范政府信息制作发布流程，严格执行信息发布审核制度，加大政务信息审核纠错力度，严格按时限要求，及时更新动态栏目信息，回应社会关切，确保政府信息的有效性和规范性。</w:t>
      </w:r>
    </w:p>
    <w:p>
      <w:pPr>
        <w:ind w:firstLine="642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紧扣信息公开工作重点，充分依托区政府信息公开网站，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及时、准确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在生态环境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专栏发布相关信息，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加强专栏信息建设，确保公开内容的的时效性和准确性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积极通过掌上泰山区和和美泰山微信公众号等政务新媒体公开平台，审核发布我单位政务公开信息，切实增强群众查阅的便捷性。</w:t>
      </w:r>
    </w:p>
    <w:p>
      <w:pPr>
        <w:ind w:firstLine="642" w:firstLineChars="200"/>
        <w:rPr>
          <w:rFonts w:hint="eastAsia" w:ascii="仿宋_GB2312" w:eastAsia="仿宋_GB2312"/>
          <w:color w:val="FF0000"/>
          <w:sz w:val="32"/>
          <w:szCs w:val="32"/>
          <w:lang w:val="en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组织科室负责人培训，重点培训政务公开目录、平台使用方法、信息发布审核流程等内容，切实提高政务公开工作质量；加强组织监督，建立分工领导抓科室、办公室总牵头的监督机制，形成了各司其职、密切配合的工作机制，切实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提升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了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政务公开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业务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水平。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  <w:t>1.主要问题。2024年我局政务公开工作虽然取得了一定的成绩，但是与上级领导要求和群众期盼相比，仍存在不足短板：一是个别科室对政务公开工作制度和有关要求理解不透、研究不够，公开的主动性不够；二是个别科室审核把关标准不高，政务公开标准化、规范化程度仍有差距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  <w:t>2.改进措施。针对以上问题我局将按照《条例》各项规定要求，重点抓好以下几项工作：一是加大培训力度，加强对各科室人员的培训，全面提升政务公开工作人员能力和水平。建立专人负责、定期提醒制度。安排办公室专人负责政务公开工作，定时检查月度季度等定期更新信息发布情况，对于未更新的信息及时提醒科室进行更新，不断增强公开的主动性和时效性。二是完善信息发布机制，采取科室自查</w:t>
      </w:r>
      <w:bookmarkStart w:id="10" w:name="_GoBack"/>
      <w:bookmarkEnd w:id="10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  <w:t>与局办公室抽查相结合的信息审查发布机制，做好信息发布前的“三审三校”，保障信息发布的质量，提升政务公开工作的规范化水平。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1.依据《政府信息公开信息处理费管理办法》收取信息处理费的情况。202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年，我局无收取信息处理费的事项。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2.本行政机关落实上级年度政务公开工作要点情况。认真落实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市区年度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政务公开工作要点，在做好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规定公开内容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的同时，立足部门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职能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，全面做好空气质量状况、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水环境质量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等信息公开工作，及时更新网站信息，取得了良好效果。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2024年泰安市生态环境局泰山分局共承办人大建议、政协提案6项，其中人大建议3项，政协提案3项；事项内容涉及大气污染防治、河道整治、中水再利用等多个方面。截至目前，我单位负责的建议、提案全部办理完毕，吸收采纳了6条，不予采纳0条，吸收采纳率100%，办结率为100%，人大代表、政协委员对办理工作表示满意，所提出的问题得到解决。我单位根据要求及时将人大建议、政协提案办理复文在泰山区人民政府门户网站进行了主动公开，接受社会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4.泰安市生态环境局泰山分局政务公开工作创新情况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环境分局充分发挥政务公开在政企沟通中的纽带桥梁作用，以新型工业化强区建设为契机，以生态环境高水平改善促进经济社会高质量发展为目标，突出抓好环评审批、总量指标、排污许可、污染防治等重点领域信息公开，不断完善工作机制和政策宣传，全面拓宽政务公开途径，切实提升了生态环境保护领域服务水平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3261624"/>
    <w:rsid w:val="042E253E"/>
    <w:rsid w:val="04624A99"/>
    <w:rsid w:val="04661011"/>
    <w:rsid w:val="04BD1BA7"/>
    <w:rsid w:val="06DF6361"/>
    <w:rsid w:val="09B74D83"/>
    <w:rsid w:val="0BE44893"/>
    <w:rsid w:val="0C197EFD"/>
    <w:rsid w:val="0C886EAB"/>
    <w:rsid w:val="118F7958"/>
    <w:rsid w:val="153C0E2B"/>
    <w:rsid w:val="17600C4E"/>
    <w:rsid w:val="18B15BA9"/>
    <w:rsid w:val="20210BFF"/>
    <w:rsid w:val="20315E0F"/>
    <w:rsid w:val="20792A83"/>
    <w:rsid w:val="21537630"/>
    <w:rsid w:val="24155071"/>
    <w:rsid w:val="2475720B"/>
    <w:rsid w:val="283D0195"/>
    <w:rsid w:val="2A585CB7"/>
    <w:rsid w:val="2D126E0D"/>
    <w:rsid w:val="2ED9699B"/>
    <w:rsid w:val="31473E7A"/>
    <w:rsid w:val="318E1295"/>
    <w:rsid w:val="31DC7336"/>
    <w:rsid w:val="31FC517A"/>
    <w:rsid w:val="33466FF4"/>
    <w:rsid w:val="35134CB4"/>
    <w:rsid w:val="364F21ED"/>
    <w:rsid w:val="372142C2"/>
    <w:rsid w:val="388A4CBC"/>
    <w:rsid w:val="38E2156D"/>
    <w:rsid w:val="3BF75330"/>
    <w:rsid w:val="3C1B0339"/>
    <w:rsid w:val="3E1D0952"/>
    <w:rsid w:val="3FF605CD"/>
    <w:rsid w:val="447F2366"/>
    <w:rsid w:val="45806396"/>
    <w:rsid w:val="45DB537A"/>
    <w:rsid w:val="468B3F91"/>
    <w:rsid w:val="47BFC2D1"/>
    <w:rsid w:val="4E067654"/>
    <w:rsid w:val="4E2F67D9"/>
    <w:rsid w:val="503E30D6"/>
    <w:rsid w:val="50CD4459"/>
    <w:rsid w:val="53FF492A"/>
    <w:rsid w:val="540366B0"/>
    <w:rsid w:val="56847368"/>
    <w:rsid w:val="58690F0C"/>
    <w:rsid w:val="59186333"/>
    <w:rsid w:val="5A9102A6"/>
    <w:rsid w:val="5D07484F"/>
    <w:rsid w:val="5EEDC3F8"/>
    <w:rsid w:val="5F7C723E"/>
    <w:rsid w:val="60477D84"/>
    <w:rsid w:val="60DA1397"/>
    <w:rsid w:val="619939F1"/>
    <w:rsid w:val="635D0996"/>
    <w:rsid w:val="65FF0DA3"/>
    <w:rsid w:val="671F2A18"/>
    <w:rsid w:val="67882CE9"/>
    <w:rsid w:val="685F3791"/>
    <w:rsid w:val="6D876F5F"/>
    <w:rsid w:val="6E274D51"/>
    <w:rsid w:val="712B6906"/>
    <w:rsid w:val="76920B32"/>
    <w:rsid w:val="76B455F0"/>
    <w:rsid w:val="76DD4B47"/>
    <w:rsid w:val="76DDF9C0"/>
    <w:rsid w:val="77B81EDB"/>
    <w:rsid w:val="7A387F61"/>
    <w:rsid w:val="7AF79EE2"/>
    <w:rsid w:val="7BE79433"/>
    <w:rsid w:val="7DBDE88F"/>
    <w:rsid w:val="7E5C8C4E"/>
    <w:rsid w:val="7F3F70A9"/>
    <w:rsid w:val="7F4EC050"/>
    <w:rsid w:val="7F7F0ED8"/>
    <w:rsid w:val="7FFEDE2F"/>
    <w:rsid w:val="8FBBAD1D"/>
    <w:rsid w:val="9FBBDF66"/>
    <w:rsid w:val="ABDE8AB7"/>
    <w:rsid w:val="BC375350"/>
    <w:rsid w:val="DBFC9849"/>
    <w:rsid w:val="DEFFB33B"/>
    <w:rsid w:val="EF5EF59E"/>
    <w:rsid w:val="EFBD352D"/>
    <w:rsid w:val="F28A71C2"/>
    <w:rsid w:val="F77C5607"/>
    <w:rsid w:val="FDC9D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2712</Words>
  <Characters>2785</Characters>
  <Lines>30</Lines>
  <Paragraphs>8</Paragraphs>
  <TotalTime>57</TotalTime>
  <ScaleCrop>false</ScaleCrop>
  <LinksUpToDate>false</LinksUpToDate>
  <CharactersWithSpaces>2785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2020-01-10T10:42:00Z</dcterms:created>
  <dc:creator>Administrator</dc:creator>
  <cp:lastModifiedBy>kylin</cp:lastModifiedBy>
  <dcterms:modified xsi:type="dcterms:W3CDTF">2025-01-20T10:33:19Z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  <property fmtid="{D5CDD505-2E9C-101B-9397-08002B2CF9AE}" pid="4" name="KSOTemplateDocerSaveRecord">
    <vt:lpwstr>eyJoZGlkIjoiYjljODFlZDE3NmU1YWQ0Y2U4MGQ3ZDRhMGNkNGZhNzAiLCJ1c2VySWQiOiIyNzM5OTk0MDUifQ==</vt:lpwstr>
  </property>
</Properties>
</file>