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before="156" w:after="156"/>
        <w:rPr>
          <w:rFonts w:ascii="宋体" w:hAnsi="宋体"/>
          <w:color w:val="auto"/>
          <w:highlight w:val="none"/>
        </w:rPr>
      </w:pPr>
    </w:p>
    <w:p>
      <w:pPr>
        <w:pStyle w:val="52"/>
        <w:spacing w:before="156" w:after="156"/>
        <w:rPr>
          <w:rFonts w:ascii="宋体" w:hAnsi="宋体"/>
          <w:color w:val="auto"/>
          <w:highlight w:val="none"/>
        </w:rPr>
      </w:pPr>
      <w:bookmarkStart w:id="372" w:name="_GoBack"/>
      <w:bookmarkEnd w:id="372"/>
    </w:p>
    <w:p>
      <w:pPr>
        <w:pStyle w:val="52"/>
        <w:spacing w:before="156" w:after="156"/>
        <w:rPr>
          <w:rFonts w:ascii="宋体" w:hAnsi="宋体"/>
          <w:color w:val="auto"/>
          <w:highlight w:val="none"/>
        </w:rPr>
      </w:pPr>
    </w:p>
    <w:p>
      <w:pPr>
        <w:pStyle w:val="52"/>
        <w:spacing w:before="156" w:after="156"/>
        <w:ind w:firstLine="0" w:firstLineChars="0"/>
        <w:jc w:val="center"/>
        <w:rPr>
          <w:rFonts w:eastAsia="黑体"/>
          <w:b/>
          <w:color w:val="auto"/>
          <w:sz w:val="56"/>
          <w:highlight w:val="none"/>
        </w:rPr>
      </w:pPr>
      <w:bookmarkStart w:id="0" w:name="_Toc3860"/>
      <w:bookmarkStart w:id="1" w:name="_Toc28232"/>
      <w:bookmarkStart w:id="2" w:name="_Toc142599944"/>
      <w:bookmarkStart w:id="3" w:name="_Toc143039767"/>
      <w:bookmarkStart w:id="4" w:name="_Toc120517175"/>
      <w:bookmarkStart w:id="5" w:name="_Toc30102"/>
      <w:bookmarkStart w:id="6" w:name="_Toc3589"/>
      <w:bookmarkStart w:id="7" w:name="_Toc28755"/>
      <w:bookmarkStart w:id="8" w:name="_Toc13580"/>
      <w:bookmarkStart w:id="9" w:name="_Toc1055"/>
      <w:bookmarkStart w:id="10" w:name="_Toc31836"/>
      <w:bookmarkStart w:id="11" w:name="_Toc21002"/>
      <w:bookmarkStart w:id="12" w:name="_Toc142605794"/>
      <w:bookmarkStart w:id="13" w:name="_Toc126162703"/>
      <w:bookmarkStart w:id="14" w:name="_Toc29071"/>
      <w:bookmarkStart w:id="15" w:name="_Toc16691"/>
      <w:bookmarkStart w:id="16" w:name="_Toc143041413"/>
      <w:bookmarkStart w:id="17" w:name="_Toc4003"/>
      <w:bookmarkStart w:id="18" w:name="_Toc6184"/>
      <w:bookmarkStart w:id="19" w:name="_Toc25574"/>
      <w:bookmarkStart w:id="20" w:name="_Toc5136"/>
      <w:r>
        <w:rPr>
          <w:rFonts w:hint="eastAsia" w:ascii="黑体" w:hAnsi="黑体" w:eastAsia="黑体" w:cs="黑体"/>
          <w:b/>
          <w:color w:val="auto"/>
          <w:sz w:val="56"/>
          <w:highlight w:val="none"/>
        </w:rPr>
        <w:t>泰山区生态文明建设</w:t>
      </w:r>
      <w:bookmarkEnd w:id="0"/>
      <w:bookmarkEnd w:id="1"/>
      <w:bookmarkStart w:id="21" w:name="_Toc17960"/>
      <w:bookmarkStart w:id="22" w:name="_Toc25040"/>
      <w:r>
        <w:rPr>
          <w:rFonts w:hint="eastAsia" w:ascii="黑体" w:hAnsi="黑体" w:eastAsia="黑体" w:cs="黑体"/>
          <w:b/>
          <w:color w:val="auto"/>
          <w:sz w:val="56"/>
          <w:highlight w:val="none"/>
        </w:rPr>
        <w:t>示范区规划</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1"/>
      <w:bookmarkEnd w:id="22"/>
      <w:bookmarkStart w:id="23" w:name="_Toc9514"/>
      <w:bookmarkStart w:id="24" w:name="_Toc11999"/>
      <w:bookmarkStart w:id="25" w:name="_Toc27613"/>
      <w:bookmarkStart w:id="26" w:name="_Toc23956"/>
      <w:bookmarkStart w:id="27" w:name="_Toc18212"/>
      <w:bookmarkStart w:id="28" w:name="_Toc14583"/>
      <w:bookmarkStart w:id="29" w:name="_Toc21673"/>
      <w:bookmarkStart w:id="30" w:name="_Toc142599945"/>
      <w:bookmarkStart w:id="31" w:name="_Toc142605795"/>
      <w:bookmarkStart w:id="32" w:name="_Toc143039768"/>
      <w:bookmarkStart w:id="33" w:name="_Toc14012"/>
      <w:bookmarkStart w:id="34" w:name="_Toc120517176"/>
      <w:bookmarkStart w:id="35" w:name="_Toc5346"/>
      <w:bookmarkStart w:id="36" w:name="_Toc15598"/>
      <w:bookmarkStart w:id="37" w:name="_Toc126162704"/>
      <w:bookmarkStart w:id="38" w:name="_Toc16553"/>
      <w:bookmarkStart w:id="39" w:name="_Toc6467"/>
      <w:bookmarkStart w:id="40" w:name="_Toc143041414"/>
      <w:r>
        <w:rPr>
          <w:rFonts w:eastAsia="黑体"/>
          <w:b/>
          <w:color w:val="auto"/>
          <w:sz w:val="56"/>
          <w:highlight w:val="none"/>
        </w:rPr>
        <w:t>（2023-2030年）</w:t>
      </w:r>
      <w:bookmarkEnd w:id="18"/>
      <w:bookmarkEnd w:id="19"/>
      <w:bookmarkEnd w:id="2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52"/>
        <w:spacing w:before="156" w:after="156"/>
        <w:ind w:firstLine="0" w:firstLineChars="0"/>
        <w:jc w:val="center"/>
        <w:rPr>
          <w:rFonts w:hint="eastAsia" w:eastAsia="黑体"/>
          <w:b/>
          <w:color w:val="auto"/>
          <w:sz w:val="56"/>
          <w:highlight w:val="none"/>
          <w:lang w:eastAsia="zh-CN"/>
        </w:rPr>
      </w:pPr>
      <w:r>
        <w:rPr>
          <w:rFonts w:hint="eastAsia" w:eastAsia="黑体"/>
          <w:b/>
          <w:color w:val="auto"/>
          <w:sz w:val="56"/>
          <w:highlight w:val="none"/>
          <w:lang w:eastAsia="zh-CN"/>
        </w:rPr>
        <w:t>（征求意见稿）</w:t>
      </w:r>
    </w:p>
    <w:p>
      <w:pPr>
        <w:pStyle w:val="52"/>
        <w:spacing w:before="156" w:after="156"/>
        <w:rPr>
          <w:rFonts w:ascii="宋体" w:hAnsi="宋体"/>
          <w:color w:val="auto"/>
          <w:highlight w:val="none"/>
        </w:rPr>
      </w:pPr>
    </w:p>
    <w:p>
      <w:pPr>
        <w:pStyle w:val="52"/>
        <w:spacing w:before="156" w:after="156"/>
        <w:rPr>
          <w:rFonts w:ascii="宋体" w:hAnsi="宋体"/>
          <w:color w:val="auto"/>
          <w:highlight w:val="none"/>
        </w:rPr>
      </w:pPr>
    </w:p>
    <w:p>
      <w:pPr>
        <w:pStyle w:val="52"/>
        <w:spacing w:before="156" w:after="156"/>
        <w:rPr>
          <w:rFonts w:ascii="宋体" w:hAnsi="宋体"/>
          <w:color w:val="auto"/>
          <w:highlight w:val="none"/>
        </w:rPr>
      </w:pPr>
    </w:p>
    <w:p>
      <w:pPr>
        <w:pStyle w:val="52"/>
        <w:spacing w:before="156" w:after="156"/>
        <w:rPr>
          <w:rFonts w:ascii="宋体" w:hAnsi="宋体"/>
          <w:color w:val="auto"/>
          <w:highlight w:val="none"/>
        </w:rPr>
      </w:pPr>
    </w:p>
    <w:p>
      <w:pPr>
        <w:pStyle w:val="52"/>
        <w:spacing w:before="156" w:after="156"/>
        <w:rPr>
          <w:rFonts w:ascii="宋体" w:hAnsi="宋体"/>
          <w:color w:val="auto"/>
          <w:highlight w:val="none"/>
        </w:rPr>
      </w:pPr>
    </w:p>
    <w:p>
      <w:pPr>
        <w:pStyle w:val="52"/>
        <w:spacing w:before="156" w:after="156"/>
        <w:rPr>
          <w:rFonts w:ascii="宋体" w:hAnsi="宋体"/>
          <w:color w:val="auto"/>
          <w:highlight w:val="none"/>
        </w:rPr>
      </w:pPr>
    </w:p>
    <w:p>
      <w:pPr>
        <w:pStyle w:val="52"/>
        <w:spacing w:before="156" w:after="156"/>
        <w:rPr>
          <w:rFonts w:ascii="宋体" w:hAnsi="宋体"/>
          <w:color w:val="auto"/>
          <w:highlight w:val="none"/>
        </w:rPr>
      </w:pPr>
    </w:p>
    <w:p>
      <w:pPr>
        <w:ind w:firstLine="0" w:firstLineChars="0"/>
        <w:jc w:val="center"/>
        <w:rPr>
          <w:rFonts w:ascii="楷体_GB2312" w:hAnsi="楷体_GB2312" w:eastAsia="楷体_GB2312" w:cs="楷体_GB2312"/>
          <w:b/>
          <w:sz w:val="36"/>
          <w:szCs w:val="36"/>
          <w:highlight w:val="none"/>
        </w:rPr>
      </w:pPr>
      <w:bookmarkStart w:id="41" w:name="_Toc21669"/>
      <w:bookmarkStart w:id="42" w:name="_Toc29559"/>
      <w:bookmarkStart w:id="43" w:name="_Toc31203"/>
      <w:bookmarkStart w:id="44" w:name="_Toc31446"/>
      <w:bookmarkStart w:id="45" w:name="_Toc20539"/>
      <w:bookmarkStart w:id="46" w:name="_Toc18562"/>
      <w:r>
        <w:rPr>
          <w:rFonts w:hint="eastAsia" w:ascii="楷体_GB2312" w:hAnsi="楷体_GB2312" w:eastAsia="楷体_GB2312" w:cs="楷体_GB2312"/>
          <w:b/>
          <w:sz w:val="36"/>
          <w:szCs w:val="36"/>
          <w:highlight w:val="none"/>
        </w:rPr>
        <w:t>泰山区人民政府</w:t>
      </w:r>
    </w:p>
    <w:bookmarkEnd w:id="41"/>
    <w:bookmarkEnd w:id="42"/>
    <w:bookmarkEnd w:id="43"/>
    <w:bookmarkEnd w:id="44"/>
    <w:bookmarkEnd w:id="45"/>
    <w:bookmarkEnd w:id="46"/>
    <w:p>
      <w:pPr>
        <w:ind w:firstLine="0" w:firstLineChars="0"/>
        <w:jc w:val="center"/>
        <w:rPr>
          <w:rFonts w:ascii="楷体_GB2312" w:hAnsi="楷体_GB2312" w:eastAsia="楷体_GB2312" w:cs="楷体_GB2312"/>
          <w:b/>
          <w:sz w:val="36"/>
          <w:szCs w:val="36"/>
          <w:highlight w:val="none"/>
        </w:rPr>
      </w:pPr>
      <w:r>
        <w:rPr>
          <w:rFonts w:hint="eastAsia" w:ascii="楷体_GB2312" w:hAnsi="楷体_GB2312" w:eastAsia="楷体_GB2312" w:cs="楷体_GB2312"/>
          <w:b/>
          <w:sz w:val="36"/>
          <w:szCs w:val="36"/>
          <w:highlight w:val="none"/>
        </w:rPr>
        <w:t>二〇二三年</w:t>
      </w:r>
      <w:r>
        <w:rPr>
          <w:rFonts w:hint="eastAsia" w:ascii="楷体_GB2312" w:hAnsi="楷体_GB2312" w:eastAsia="楷体_GB2312" w:cs="楷体_GB2312"/>
          <w:b/>
          <w:sz w:val="36"/>
          <w:szCs w:val="36"/>
          <w:highlight w:val="none"/>
          <w:lang w:eastAsia="zh-CN"/>
        </w:rPr>
        <w:t>九</w:t>
      </w:r>
      <w:r>
        <w:rPr>
          <w:rFonts w:hint="eastAsia" w:ascii="楷体_GB2312" w:hAnsi="楷体_GB2312" w:eastAsia="楷体_GB2312" w:cs="楷体_GB2312"/>
          <w:b/>
          <w:sz w:val="36"/>
          <w:szCs w:val="36"/>
          <w:highlight w:val="none"/>
        </w:rPr>
        <w:t>月</w:t>
      </w:r>
    </w:p>
    <w:p>
      <w:pPr>
        <w:ind w:firstLine="0" w:firstLineChars="0"/>
        <w:rPr>
          <w:rFonts w:ascii="楷体_GB2312" w:hAnsi="楷体_GB2312" w:eastAsia="楷体_GB2312" w:cs="楷体_GB2312"/>
          <w:b/>
          <w:bCs/>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upperRoman" w:start="1"/>
          <w:cols w:space="425" w:num="1"/>
          <w:docGrid w:type="lines" w:linePitch="312" w:charSpace="0"/>
        </w:sectPr>
      </w:pPr>
    </w:p>
    <w:p>
      <w:pPr>
        <w:pStyle w:val="39"/>
        <w:rPr>
          <w:rFonts w:hint="default"/>
          <w:color w:val="auto"/>
          <w:highlight w:val="none"/>
        </w:rPr>
      </w:pPr>
    </w:p>
    <w:p>
      <w:pPr>
        <w:adjustRightInd w:val="0"/>
        <w:spacing w:after="156" w:afterLines="50" w:line="600" w:lineRule="exact"/>
        <w:ind w:firstLine="0" w:firstLineChars="0"/>
        <w:jc w:val="center"/>
        <w:rPr>
          <w:rFonts w:eastAsia="方正小标宋简体" w:cs="Times New Roman"/>
          <w:sz w:val="44"/>
          <w:szCs w:val="44"/>
          <w:highlight w:val="none"/>
        </w:rPr>
      </w:pPr>
      <w:r>
        <w:rPr>
          <w:rFonts w:hint="eastAsia" w:eastAsia="方正小标宋简体" w:cs="Times New Roman"/>
          <w:sz w:val="44"/>
          <w:szCs w:val="44"/>
          <w:highlight w:val="none"/>
        </w:rPr>
        <w:t>泰山区生态文明建设示范区领导小组</w:t>
      </w:r>
    </w:p>
    <w:p>
      <w:pPr>
        <w:adjustRightInd w:val="0"/>
        <w:spacing w:after="156" w:afterLines="50" w:line="600" w:lineRule="exact"/>
        <w:ind w:firstLine="0" w:firstLineChars="0"/>
        <w:jc w:val="center"/>
        <w:rPr>
          <w:rFonts w:eastAsia="方正小标宋简体" w:cs="Times New Roman"/>
          <w:sz w:val="44"/>
          <w:szCs w:val="44"/>
          <w:highlight w:val="none"/>
        </w:rPr>
      </w:pPr>
      <w:r>
        <w:rPr>
          <w:rFonts w:hint="eastAsia" w:eastAsia="方正小标宋简体" w:cs="Times New Roman"/>
          <w:sz w:val="44"/>
          <w:szCs w:val="44"/>
          <w:highlight w:val="none"/>
        </w:rPr>
        <w:t>成 员 名 单</w:t>
      </w:r>
    </w:p>
    <w:p>
      <w:pPr>
        <w:spacing w:line="600" w:lineRule="exact"/>
        <w:ind w:firstLine="640"/>
        <w:rPr>
          <w:rFonts w:eastAsia="黑体"/>
          <w:kern w:val="0"/>
          <w:sz w:val="32"/>
          <w:szCs w:val="32"/>
          <w:highlight w:val="none"/>
        </w:rPr>
      </w:pPr>
    </w:p>
    <w:p>
      <w:pPr>
        <w:spacing w:line="600" w:lineRule="exact"/>
        <w:ind w:firstLine="640"/>
        <w:rPr>
          <w:rFonts w:eastAsia="黑体"/>
          <w:kern w:val="0"/>
          <w:sz w:val="32"/>
          <w:szCs w:val="32"/>
          <w:highlight w:val="none"/>
        </w:rPr>
      </w:pPr>
      <w:r>
        <w:rPr>
          <w:rFonts w:eastAsia="黑体"/>
          <w:kern w:val="0"/>
          <w:sz w:val="32"/>
          <w:szCs w:val="32"/>
          <w:highlight w:val="none"/>
        </w:rPr>
        <w:t>组  长：</w:t>
      </w:r>
      <w:r>
        <w:rPr>
          <w:sz w:val="32"/>
          <w:szCs w:val="32"/>
          <w:highlight w:val="none"/>
        </w:rPr>
        <w:t>周鹏飞</w:t>
      </w:r>
    </w:p>
    <w:p>
      <w:pPr>
        <w:spacing w:line="600" w:lineRule="exact"/>
        <w:ind w:firstLine="640"/>
        <w:rPr>
          <w:rFonts w:hint="eastAsia"/>
          <w:sz w:val="32"/>
          <w:szCs w:val="32"/>
          <w:highlight w:val="none"/>
          <w:lang w:eastAsia="zh-CN"/>
        </w:rPr>
      </w:pPr>
      <w:r>
        <w:rPr>
          <w:rFonts w:eastAsia="黑体"/>
          <w:kern w:val="0"/>
          <w:sz w:val="32"/>
          <w:szCs w:val="32"/>
          <w:highlight w:val="none"/>
        </w:rPr>
        <w:t>副组长：</w:t>
      </w:r>
      <w:r>
        <w:rPr>
          <w:rFonts w:hint="eastAsia"/>
          <w:sz w:val="32"/>
          <w:szCs w:val="32"/>
          <w:highlight w:val="none"/>
          <w:lang w:eastAsia="zh-CN"/>
        </w:rPr>
        <w:t>张和江</w:t>
      </w:r>
    </w:p>
    <w:p>
      <w:pPr>
        <w:spacing w:line="600" w:lineRule="exact"/>
        <w:ind w:firstLine="640"/>
        <w:rPr>
          <w:sz w:val="32"/>
          <w:szCs w:val="32"/>
          <w:highlight w:val="none"/>
        </w:rPr>
      </w:pPr>
      <w:r>
        <w:rPr>
          <w:rFonts w:eastAsia="黑体"/>
          <w:kern w:val="0"/>
          <w:sz w:val="32"/>
          <w:szCs w:val="32"/>
          <w:highlight w:val="none"/>
        </w:rPr>
        <w:t>成  员：</w:t>
      </w:r>
      <w:r>
        <w:rPr>
          <w:kern w:val="0"/>
          <w:sz w:val="32"/>
          <w:szCs w:val="32"/>
          <w:highlight w:val="none"/>
        </w:rPr>
        <w:t>孙一国</w:t>
      </w:r>
      <w:r>
        <w:rPr>
          <w:sz w:val="32"/>
          <w:szCs w:val="32"/>
          <w:highlight w:val="none"/>
        </w:rPr>
        <w:t xml:space="preserve">  区政府办公室</w:t>
      </w:r>
    </w:p>
    <w:p>
      <w:pPr>
        <w:spacing w:line="600" w:lineRule="exact"/>
        <w:ind w:firstLine="1920" w:firstLineChars="600"/>
        <w:rPr>
          <w:sz w:val="32"/>
          <w:szCs w:val="32"/>
          <w:highlight w:val="none"/>
        </w:rPr>
      </w:pPr>
      <w:r>
        <w:rPr>
          <w:rFonts w:hint="eastAsia"/>
          <w:sz w:val="32"/>
          <w:szCs w:val="32"/>
          <w:highlight w:val="none"/>
        </w:rPr>
        <w:t>陈学刚</w:t>
      </w:r>
      <w:r>
        <w:rPr>
          <w:sz w:val="32"/>
          <w:szCs w:val="32"/>
          <w:highlight w:val="none"/>
        </w:rPr>
        <w:t xml:space="preserve">  区发改局</w:t>
      </w:r>
    </w:p>
    <w:p>
      <w:pPr>
        <w:spacing w:line="600" w:lineRule="exact"/>
        <w:ind w:firstLine="1920" w:firstLineChars="600"/>
        <w:rPr>
          <w:sz w:val="32"/>
          <w:szCs w:val="32"/>
          <w:highlight w:val="none"/>
        </w:rPr>
      </w:pPr>
      <w:r>
        <w:rPr>
          <w:rFonts w:hint="eastAsia"/>
          <w:sz w:val="32"/>
          <w:szCs w:val="32"/>
          <w:highlight w:val="none"/>
          <w:lang w:eastAsia="zh-CN"/>
        </w:rPr>
        <w:t>曹</w:t>
      </w:r>
      <w:r>
        <w:rPr>
          <w:rFonts w:hint="eastAsia"/>
          <w:sz w:val="32"/>
          <w:szCs w:val="32"/>
          <w:highlight w:val="none"/>
          <w:lang w:val="en-US" w:eastAsia="zh-CN"/>
        </w:rPr>
        <w:t xml:space="preserve">  磊</w:t>
      </w:r>
      <w:r>
        <w:rPr>
          <w:sz w:val="32"/>
          <w:szCs w:val="32"/>
          <w:highlight w:val="none"/>
        </w:rPr>
        <w:t xml:space="preserve">  区工信局</w:t>
      </w:r>
    </w:p>
    <w:p>
      <w:pPr>
        <w:spacing w:line="600" w:lineRule="exact"/>
        <w:ind w:firstLine="1920" w:firstLineChars="600"/>
        <w:rPr>
          <w:sz w:val="32"/>
          <w:szCs w:val="32"/>
          <w:highlight w:val="none"/>
        </w:rPr>
      </w:pPr>
      <w:r>
        <w:rPr>
          <w:sz w:val="32"/>
          <w:szCs w:val="32"/>
          <w:highlight w:val="none"/>
        </w:rPr>
        <w:t>武永明  区财政局</w:t>
      </w:r>
    </w:p>
    <w:p>
      <w:pPr>
        <w:spacing w:line="600" w:lineRule="exact"/>
        <w:ind w:firstLine="1897" w:firstLineChars="593"/>
        <w:rPr>
          <w:sz w:val="32"/>
          <w:szCs w:val="32"/>
          <w:highlight w:val="none"/>
        </w:rPr>
      </w:pPr>
      <w:r>
        <w:rPr>
          <w:rFonts w:hint="eastAsia"/>
          <w:sz w:val="32"/>
          <w:szCs w:val="32"/>
          <w:highlight w:val="none"/>
        </w:rPr>
        <w:t>郑志斌</w:t>
      </w:r>
      <w:r>
        <w:rPr>
          <w:sz w:val="32"/>
          <w:szCs w:val="32"/>
          <w:highlight w:val="none"/>
        </w:rPr>
        <w:t xml:space="preserve">  区自然资源局</w:t>
      </w:r>
    </w:p>
    <w:p>
      <w:pPr>
        <w:spacing w:line="600" w:lineRule="exact"/>
        <w:ind w:firstLine="1897" w:firstLineChars="593"/>
        <w:rPr>
          <w:sz w:val="32"/>
          <w:szCs w:val="32"/>
          <w:highlight w:val="none"/>
        </w:rPr>
      </w:pPr>
      <w:r>
        <w:rPr>
          <w:sz w:val="32"/>
          <w:szCs w:val="32"/>
          <w:highlight w:val="none"/>
        </w:rPr>
        <w:t>吴广庆  区住建局</w:t>
      </w:r>
    </w:p>
    <w:p>
      <w:pPr>
        <w:spacing w:line="600" w:lineRule="exact"/>
        <w:ind w:firstLine="1897" w:firstLineChars="593"/>
        <w:rPr>
          <w:sz w:val="32"/>
          <w:szCs w:val="32"/>
          <w:highlight w:val="none"/>
        </w:rPr>
      </w:pPr>
      <w:r>
        <w:rPr>
          <w:rFonts w:hint="eastAsia"/>
          <w:sz w:val="32"/>
          <w:szCs w:val="32"/>
          <w:highlight w:val="none"/>
        </w:rPr>
        <w:t>张  永</w:t>
      </w:r>
      <w:r>
        <w:rPr>
          <w:sz w:val="32"/>
          <w:szCs w:val="32"/>
          <w:highlight w:val="none"/>
        </w:rPr>
        <w:t xml:space="preserve">  区水利局</w:t>
      </w:r>
    </w:p>
    <w:p>
      <w:pPr>
        <w:spacing w:line="600" w:lineRule="exact"/>
        <w:ind w:firstLine="1897" w:firstLineChars="593"/>
        <w:rPr>
          <w:sz w:val="32"/>
          <w:szCs w:val="32"/>
          <w:highlight w:val="none"/>
        </w:rPr>
      </w:pPr>
      <w:r>
        <w:rPr>
          <w:rFonts w:hint="eastAsia"/>
          <w:sz w:val="32"/>
          <w:szCs w:val="32"/>
          <w:highlight w:val="none"/>
        </w:rPr>
        <w:t>李永荣</w:t>
      </w:r>
      <w:r>
        <w:rPr>
          <w:sz w:val="32"/>
          <w:szCs w:val="32"/>
          <w:highlight w:val="none"/>
        </w:rPr>
        <w:t xml:space="preserve">  区农业农村局</w:t>
      </w:r>
    </w:p>
    <w:p>
      <w:pPr>
        <w:spacing w:line="600" w:lineRule="exact"/>
        <w:ind w:firstLine="1897" w:firstLineChars="593"/>
        <w:rPr>
          <w:sz w:val="32"/>
          <w:szCs w:val="32"/>
          <w:highlight w:val="none"/>
        </w:rPr>
      </w:pPr>
      <w:r>
        <w:rPr>
          <w:sz w:val="32"/>
          <w:szCs w:val="32"/>
          <w:highlight w:val="none"/>
        </w:rPr>
        <w:t>宋利民  区应急管理局</w:t>
      </w:r>
    </w:p>
    <w:p>
      <w:pPr>
        <w:spacing w:line="600" w:lineRule="exact"/>
        <w:ind w:firstLine="1897" w:firstLineChars="593"/>
        <w:rPr>
          <w:sz w:val="32"/>
          <w:szCs w:val="32"/>
          <w:highlight w:val="none"/>
        </w:rPr>
      </w:pPr>
      <w:r>
        <w:rPr>
          <w:rFonts w:hint="eastAsia"/>
          <w:sz w:val="32"/>
          <w:szCs w:val="32"/>
          <w:highlight w:val="none"/>
          <w:lang w:eastAsia="zh-CN"/>
        </w:rPr>
        <w:t>于晓国</w:t>
      </w:r>
      <w:r>
        <w:rPr>
          <w:sz w:val="32"/>
          <w:szCs w:val="32"/>
          <w:highlight w:val="none"/>
        </w:rPr>
        <w:t xml:space="preserve">  区综合行政执法局</w:t>
      </w:r>
    </w:p>
    <w:p>
      <w:pPr>
        <w:spacing w:line="600" w:lineRule="exact"/>
        <w:ind w:firstLine="1897" w:firstLineChars="593"/>
        <w:rPr>
          <w:sz w:val="32"/>
          <w:szCs w:val="32"/>
          <w:highlight w:val="none"/>
        </w:rPr>
      </w:pPr>
      <w:r>
        <w:rPr>
          <w:sz w:val="32"/>
          <w:szCs w:val="32"/>
          <w:highlight w:val="none"/>
        </w:rPr>
        <w:t>马  丽  区统计局</w:t>
      </w:r>
    </w:p>
    <w:p>
      <w:pPr>
        <w:spacing w:line="600" w:lineRule="exact"/>
        <w:ind w:firstLine="1897" w:firstLineChars="593"/>
        <w:rPr>
          <w:sz w:val="32"/>
          <w:szCs w:val="32"/>
          <w:highlight w:val="none"/>
        </w:rPr>
      </w:pPr>
      <w:r>
        <w:rPr>
          <w:rFonts w:hint="eastAsia"/>
          <w:sz w:val="32"/>
          <w:szCs w:val="32"/>
          <w:highlight w:val="none"/>
          <w:lang w:eastAsia="zh-CN"/>
        </w:rPr>
        <w:t>张华群</w:t>
      </w:r>
      <w:r>
        <w:rPr>
          <w:sz w:val="32"/>
          <w:szCs w:val="32"/>
          <w:highlight w:val="none"/>
        </w:rPr>
        <w:t xml:space="preserve">  区妇联</w:t>
      </w:r>
    </w:p>
    <w:p>
      <w:pPr>
        <w:spacing w:line="600" w:lineRule="exact"/>
        <w:ind w:firstLine="1897" w:firstLineChars="593"/>
        <w:rPr>
          <w:sz w:val="32"/>
          <w:szCs w:val="32"/>
          <w:highlight w:val="none"/>
        </w:rPr>
      </w:pPr>
      <w:r>
        <w:rPr>
          <w:sz w:val="32"/>
          <w:szCs w:val="32"/>
          <w:highlight w:val="none"/>
        </w:rPr>
        <w:t xml:space="preserve">孙业存  </w:t>
      </w:r>
      <w:r>
        <w:rPr>
          <w:rFonts w:hint="eastAsia"/>
          <w:sz w:val="32"/>
          <w:szCs w:val="32"/>
          <w:highlight w:val="none"/>
        </w:rPr>
        <w:t>市</w:t>
      </w:r>
      <w:r>
        <w:rPr>
          <w:sz w:val="32"/>
          <w:szCs w:val="32"/>
          <w:highlight w:val="none"/>
        </w:rPr>
        <w:t>生态环境局</w:t>
      </w:r>
      <w:r>
        <w:rPr>
          <w:rFonts w:hint="eastAsia"/>
          <w:sz w:val="32"/>
          <w:szCs w:val="32"/>
          <w:highlight w:val="none"/>
        </w:rPr>
        <w:t>泰山分局</w:t>
      </w:r>
    </w:p>
    <w:p>
      <w:pPr>
        <w:pStyle w:val="15"/>
        <w:spacing w:line="600" w:lineRule="exact"/>
        <w:ind w:firstLine="640" w:firstLineChars="200"/>
        <w:rPr>
          <w:highlight w:val="none"/>
        </w:rPr>
      </w:pPr>
      <w:r>
        <w:rPr>
          <w:kern w:val="0"/>
          <w:szCs w:val="32"/>
          <w:highlight w:val="none"/>
        </w:rPr>
        <w:t>领导小组下设办公室，办公室设在</w:t>
      </w:r>
      <w:r>
        <w:rPr>
          <w:rFonts w:hint="eastAsia"/>
          <w:szCs w:val="32"/>
          <w:highlight w:val="none"/>
        </w:rPr>
        <w:t>市</w:t>
      </w:r>
      <w:r>
        <w:rPr>
          <w:szCs w:val="32"/>
          <w:highlight w:val="none"/>
        </w:rPr>
        <w:t>生态环境局</w:t>
      </w:r>
      <w:r>
        <w:rPr>
          <w:rFonts w:hint="eastAsia"/>
          <w:szCs w:val="32"/>
          <w:highlight w:val="none"/>
        </w:rPr>
        <w:t>泰山分局</w:t>
      </w:r>
      <w:r>
        <w:rPr>
          <w:kern w:val="0"/>
          <w:szCs w:val="32"/>
          <w:highlight w:val="none"/>
        </w:rPr>
        <w:t>，孙业存同志兼任办公室主任。</w:t>
      </w:r>
    </w:p>
    <w:p>
      <w:pPr>
        <w:pStyle w:val="29"/>
        <w:ind w:left="560"/>
        <w:rPr>
          <w:highlight w:val="none"/>
        </w:rPr>
      </w:pPr>
    </w:p>
    <w:p>
      <w:pPr>
        <w:ind w:firstLine="560"/>
        <w:rPr>
          <w:rFonts w:ascii="宋体" w:hAnsi="宋体" w:eastAsia="宋体"/>
          <w:highlight w:val="none"/>
        </w:rPr>
      </w:pPr>
      <w:r>
        <w:rPr>
          <w:rFonts w:ascii="宋体" w:hAnsi="宋体" w:eastAsia="宋体"/>
          <w:highlight w:val="none"/>
        </w:rPr>
        <w:br w:type="page"/>
      </w:r>
    </w:p>
    <w:p>
      <w:pPr>
        <w:pStyle w:val="23"/>
        <w:tabs>
          <w:tab w:val="right" w:leader="dot" w:pos="8306"/>
        </w:tabs>
        <w:ind w:firstLine="562"/>
        <w:jc w:val="center"/>
        <w:rPr>
          <w:rFonts w:ascii="宋体" w:hAnsi="宋体" w:eastAsia="宋体"/>
          <w:b/>
          <w:bCs/>
          <w:highlight w:val="none"/>
        </w:rPr>
        <w:sectPr>
          <w:headerReference r:id="rId13" w:type="default"/>
          <w:footerReference r:id="rId14" w:type="default"/>
          <w:pgSz w:w="11906" w:h="16838"/>
          <w:pgMar w:top="1440" w:right="1800" w:bottom="1440" w:left="1800" w:header="851" w:footer="992" w:gutter="0"/>
          <w:pgNumType w:fmt="upperRoman" w:start="1"/>
          <w:cols w:space="425" w:num="1"/>
          <w:docGrid w:type="lines" w:linePitch="312" w:charSpace="0"/>
        </w:sectPr>
      </w:pPr>
    </w:p>
    <w:p>
      <w:pPr>
        <w:pStyle w:val="2"/>
        <w:numPr>
          <w:ilvl w:val="0"/>
          <w:numId w:val="0"/>
        </w:numPr>
        <w:spacing w:before="156" w:beforeLines="50" w:after="156" w:afterLines="50" w:line="360" w:lineRule="auto"/>
        <w:ind w:left="165" w:leftChars="59"/>
        <w:jc w:val="center"/>
        <w:rPr>
          <w:rFonts w:ascii="宋体" w:hAnsi="宋体" w:eastAsia="宋体"/>
          <w:sz w:val="36"/>
          <w:szCs w:val="36"/>
          <w:highlight w:val="none"/>
          <w:lang w:val="zh-CN" w:bidi="en-US"/>
        </w:rPr>
      </w:pPr>
      <w:bookmarkStart w:id="47" w:name="_Toc21694039"/>
      <w:bookmarkStart w:id="48" w:name="_Toc21693856"/>
      <w:bookmarkStart w:id="49" w:name="_Toc143041415"/>
      <w:bookmarkStart w:id="50" w:name="_Toc360"/>
      <w:bookmarkStart w:id="51" w:name="_Toc21788454"/>
      <w:bookmarkStart w:id="52" w:name="_Toc56690807"/>
      <w:bookmarkStart w:id="53" w:name="_Toc126162705"/>
      <w:bookmarkStart w:id="54" w:name="_Toc7478"/>
      <w:bookmarkStart w:id="55" w:name="_Toc11234"/>
      <w:bookmarkStart w:id="56" w:name="_Toc6894"/>
      <w:bookmarkStart w:id="57" w:name="_Toc72763575"/>
      <w:bookmarkStart w:id="58" w:name="_Toc21695346"/>
      <w:r>
        <w:rPr>
          <w:rFonts w:ascii="宋体" w:hAnsi="宋体" w:eastAsia="宋体"/>
          <w:sz w:val="36"/>
          <w:szCs w:val="36"/>
          <w:highlight w:val="none"/>
          <w:lang w:val="zh-CN" w:bidi="en-US"/>
        </w:rPr>
        <w:t>前  言</w:t>
      </w:r>
      <w:bookmarkEnd w:id="47"/>
      <w:bookmarkEnd w:id="48"/>
      <w:bookmarkEnd w:id="49"/>
      <w:bookmarkEnd w:id="50"/>
      <w:bookmarkEnd w:id="51"/>
      <w:bookmarkEnd w:id="52"/>
      <w:bookmarkEnd w:id="53"/>
      <w:bookmarkEnd w:id="54"/>
      <w:bookmarkEnd w:id="55"/>
      <w:bookmarkEnd w:id="56"/>
      <w:bookmarkEnd w:id="57"/>
      <w:bookmarkEnd w:id="58"/>
    </w:p>
    <w:p>
      <w:pPr>
        <w:ind w:firstLine="600"/>
        <w:rPr>
          <w:rFonts w:eastAsia="宋体" w:cs="Times New Roman"/>
          <w:sz w:val="30"/>
          <w:szCs w:val="30"/>
          <w:highlight w:val="none"/>
        </w:rPr>
      </w:pPr>
      <w:r>
        <w:rPr>
          <w:rFonts w:hint="eastAsia" w:eastAsia="宋体" w:cs="Times New Roman"/>
          <w:sz w:val="30"/>
          <w:szCs w:val="30"/>
          <w:highlight w:val="none"/>
        </w:rPr>
        <w:t>生态文明建设是关系人民福祉、关乎民族未来的大计。党的十八大以来，党中央把生态文明建设摆在前所未有的高度，我国生态文明建设和生态环境保护从认识到实践发生了历史性、转折性、全局性变化。党的二十大报告指出“坚持绿水青山就是金山银山的理念，坚持山水林田湖草沙一体化保护和系统治理，全方位、全地域、全过程加强生态环境保护，生态文明制度体系更加健全”，并强调“中国式现代化是人与自然和谐共生的现代化，人与自然是生命共同体”，这为当前和今后一段时期我国生态文明建设擘画了宏伟蓝图、指明了前进方向。</w:t>
      </w:r>
    </w:p>
    <w:p>
      <w:pPr>
        <w:ind w:firstLine="600"/>
        <w:rPr>
          <w:rFonts w:eastAsia="宋体" w:cs="Times New Roman"/>
          <w:sz w:val="30"/>
          <w:szCs w:val="30"/>
          <w:highlight w:val="none"/>
        </w:rPr>
      </w:pPr>
      <w:r>
        <w:rPr>
          <w:rFonts w:hint="eastAsia" w:eastAsia="宋体" w:cs="Times New Roman"/>
          <w:sz w:val="30"/>
          <w:szCs w:val="30"/>
          <w:highlight w:val="none"/>
        </w:rPr>
        <w:t>为深入贯彻落实习近平生态文明思想，进一步探索生态文明建设和“绿水青山就是金山银山”实践路径，生态环境部按照点面结合、多层次推进、东中西部有序布局的指导思想推进生态文明创建工作，从2017年开始，先后命名和授牌了六批，共</w:t>
      </w:r>
      <w:r>
        <w:rPr>
          <w:rFonts w:eastAsia="宋体" w:cs="Times New Roman"/>
          <w:sz w:val="30"/>
          <w:szCs w:val="30"/>
          <w:highlight w:val="none"/>
        </w:rPr>
        <w:t>468</w:t>
      </w:r>
      <w:r>
        <w:rPr>
          <w:rFonts w:hint="eastAsia" w:eastAsia="宋体" w:cs="Times New Roman"/>
          <w:sz w:val="30"/>
          <w:szCs w:val="30"/>
          <w:highlight w:val="none"/>
        </w:rPr>
        <w:t>个国家生态文明建设示范市县和</w:t>
      </w:r>
      <w:r>
        <w:rPr>
          <w:rFonts w:eastAsia="宋体" w:cs="Times New Roman"/>
          <w:sz w:val="30"/>
          <w:szCs w:val="30"/>
          <w:highlight w:val="none"/>
        </w:rPr>
        <w:t>187</w:t>
      </w:r>
      <w:r>
        <w:rPr>
          <w:rFonts w:hint="eastAsia" w:eastAsia="宋体" w:cs="Times New Roman"/>
          <w:sz w:val="30"/>
          <w:szCs w:val="30"/>
          <w:highlight w:val="none"/>
        </w:rPr>
        <w:t>个“绿水青山就是金山银山”实践创新基地，为全国生态文明建设提供了形式多样、鲜活生动、有重要价值的参考和借鉴。</w:t>
      </w:r>
    </w:p>
    <w:p>
      <w:pPr>
        <w:ind w:firstLine="600"/>
        <w:rPr>
          <w:rFonts w:eastAsia="宋体" w:cs="Times New Roman"/>
          <w:sz w:val="30"/>
          <w:szCs w:val="30"/>
          <w:highlight w:val="none"/>
        </w:rPr>
      </w:pPr>
      <w:r>
        <w:rPr>
          <w:rFonts w:hint="eastAsia" w:eastAsia="宋体" w:cs="Times New Roman"/>
          <w:sz w:val="30"/>
          <w:szCs w:val="30"/>
          <w:highlight w:val="none"/>
        </w:rPr>
        <w:t>泰山区位于泰安市中部，北依泰山，东西南三面与泰安市岱岳区搭界，北部与济南市历城区、长清区毗连，总面积336.98平方公里，是泰安市政治中心、经济中心、交通中心。泰山</w:t>
      </w:r>
      <w:r>
        <w:rPr>
          <w:rFonts w:eastAsia="宋体" w:cs="Times New Roman"/>
          <w:sz w:val="30"/>
          <w:szCs w:val="30"/>
          <w:highlight w:val="none"/>
        </w:rPr>
        <w:t>区历来高度重视生态文明建设，</w:t>
      </w:r>
      <w:r>
        <w:rPr>
          <w:rFonts w:hint="eastAsia" w:eastAsia="宋体" w:cs="Times New Roman"/>
          <w:sz w:val="30"/>
          <w:szCs w:val="30"/>
          <w:highlight w:val="none"/>
        </w:rPr>
        <w:t>始终牢固树立“绿水青山就是金山银山”理念，坚定不移贯彻落实习近平总书记系列重要讲话精神和省委省政府的决策部署，</w:t>
      </w:r>
      <w:r>
        <w:rPr>
          <w:rFonts w:eastAsia="宋体" w:cs="Times New Roman"/>
          <w:sz w:val="30"/>
          <w:szCs w:val="30"/>
          <w:highlight w:val="none"/>
        </w:rPr>
        <w:t>一手抓生态文明建设，一手抓绿色产业发展，优化产业结构，实现了生态环境改善与产业发展的良性互动、相互促进，用实际行动诠释保护生态与高质量发展的互动双赢，生态文明建设取得显著成效。202</w:t>
      </w:r>
      <w:r>
        <w:rPr>
          <w:rFonts w:hint="eastAsia" w:eastAsia="宋体" w:cs="Times New Roman"/>
          <w:sz w:val="30"/>
          <w:szCs w:val="30"/>
          <w:highlight w:val="none"/>
        </w:rPr>
        <w:t>2</w:t>
      </w:r>
      <w:r>
        <w:rPr>
          <w:rFonts w:eastAsia="宋体" w:cs="Times New Roman"/>
          <w:sz w:val="30"/>
          <w:szCs w:val="30"/>
          <w:highlight w:val="none"/>
        </w:rPr>
        <w:t>年</w:t>
      </w:r>
      <w:r>
        <w:rPr>
          <w:rFonts w:hint="eastAsia" w:eastAsia="宋体" w:cs="Times New Roman"/>
          <w:sz w:val="30"/>
          <w:szCs w:val="30"/>
          <w:highlight w:val="none"/>
        </w:rPr>
        <w:t>，泰山区</w:t>
      </w:r>
      <w:r>
        <w:rPr>
          <w:rFonts w:eastAsia="宋体" w:cs="Times New Roman"/>
          <w:sz w:val="30"/>
          <w:szCs w:val="30"/>
          <w:highlight w:val="none"/>
        </w:rPr>
        <w:t>启动《</w:t>
      </w:r>
      <w:r>
        <w:rPr>
          <w:rFonts w:hint="eastAsia" w:eastAsia="宋体" w:cs="Times New Roman"/>
          <w:sz w:val="30"/>
          <w:szCs w:val="30"/>
          <w:highlight w:val="none"/>
        </w:rPr>
        <w:t>泰山区</w:t>
      </w:r>
      <w:r>
        <w:rPr>
          <w:rFonts w:eastAsia="宋体" w:cs="Times New Roman"/>
          <w:sz w:val="30"/>
          <w:szCs w:val="30"/>
          <w:highlight w:val="none"/>
        </w:rPr>
        <w:t>生态文明建设示范区规划（2023-2030年）》（以下简称《规划》）编制工作，成立领导小组，并委托中国环境科学研究院承担研究与编制任务。</w:t>
      </w:r>
    </w:p>
    <w:p>
      <w:pPr>
        <w:spacing w:before="156" w:beforeLines="50" w:after="156" w:afterLines="50"/>
        <w:ind w:firstLine="600"/>
        <w:rPr>
          <w:rFonts w:ascii="宋体" w:hAnsi="宋体" w:eastAsia="宋体" w:cs="Times New Roman"/>
          <w:sz w:val="30"/>
          <w:szCs w:val="30"/>
          <w:highlight w:val="none"/>
        </w:rPr>
        <w:sectPr>
          <w:footerReference r:id="rId15" w:type="default"/>
          <w:pgSz w:w="11906" w:h="16838"/>
          <w:pgMar w:top="1440" w:right="1800" w:bottom="1440" w:left="1800" w:header="851" w:footer="992" w:gutter="0"/>
          <w:pgNumType w:fmt="lowerRoman" w:start="1"/>
          <w:cols w:space="425" w:num="1"/>
          <w:docGrid w:type="lines" w:linePitch="312" w:charSpace="0"/>
        </w:sectPr>
      </w:pPr>
      <w:r>
        <w:rPr>
          <w:rFonts w:hint="eastAsia" w:eastAsia="宋体" w:cs="Times New Roman"/>
          <w:sz w:val="30"/>
          <w:szCs w:val="30"/>
          <w:highlight w:val="none"/>
        </w:rPr>
        <w:t>《规划》依据《国家生态文明建设示范区管理规程》《生态文明建设示范区建设指标（修订版）》，《山东省省级生态文明建设示范区管理规程》《山东省省级生态文明建设示范区指标》（鲁环发〔</w:t>
      </w:r>
      <w:r>
        <w:rPr>
          <w:rFonts w:eastAsia="宋体" w:cs="Times New Roman"/>
          <w:sz w:val="30"/>
          <w:szCs w:val="30"/>
          <w:highlight w:val="none"/>
        </w:rPr>
        <w:t>2020</w:t>
      </w:r>
      <w:r>
        <w:rPr>
          <w:rFonts w:hint="eastAsia" w:eastAsia="宋体" w:cs="Times New Roman"/>
          <w:sz w:val="30"/>
          <w:szCs w:val="30"/>
          <w:highlight w:val="none"/>
        </w:rPr>
        <w:t>〕</w:t>
      </w:r>
      <w:r>
        <w:rPr>
          <w:rFonts w:eastAsia="宋体" w:cs="Times New Roman"/>
          <w:sz w:val="30"/>
          <w:szCs w:val="30"/>
          <w:highlight w:val="none"/>
        </w:rPr>
        <w:t>16</w:t>
      </w:r>
      <w:r>
        <w:rPr>
          <w:rFonts w:hint="eastAsia" w:eastAsia="宋体" w:cs="Times New Roman"/>
          <w:sz w:val="30"/>
          <w:szCs w:val="30"/>
          <w:highlight w:val="none"/>
        </w:rPr>
        <w:t>号）等文件要求，结合泰山区区域定位和生态文明建设基础，通过分析生态文明建设存在的问题，研判面临的机遇与挑战等，确定规划目标，明确主要规划任务与措施，提出重点工程。《规划》的实施对提升生态环境质量、优化国土空间格局、促进资源节约集约利用、改善人居环境、全面推动“美丽泰山”建设等有重大现实意义</w:t>
      </w:r>
      <w:r>
        <w:rPr>
          <w:rFonts w:ascii="宋体" w:hAnsi="宋体" w:eastAsia="宋体" w:cs="Times New Roman"/>
          <w:sz w:val="30"/>
          <w:szCs w:val="30"/>
          <w:highlight w:val="none"/>
        </w:rPr>
        <w:t>。</w:t>
      </w:r>
    </w:p>
    <w:p>
      <w:pPr>
        <w:pStyle w:val="23"/>
        <w:tabs>
          <w:tab w:val="right" w:leader="dot" w:pos="8296"/>
        </w:tabs>
        <w:snapToGrid w:val="0"/>
        <w:spacing w:line="240" w:lineRule="auto"/>
        <w:ind w:firstLine="720" w:firstLineChars="0"/>
        <w:jc w:val="center"/>
        <w:rPr>
          <w:rFonts w:ascii="仿宋_GB2312" w:hAnsi="仿宋_GB2312" w:cs="仿宋_GB2312"/>
          <w:b/>
          <w:bCs/>
          <w:szCs w:val="24"/>
          <w:highlight w:val="none"/>
        </w:rPr>
      </w:pPr>
      <w:r>
        <w:rPr>
          <w:rFonts w:hint="eastAsia" w:ascii="仿宋_GB2312" w:hAnsi="仿宋_GB2312" w:cs="仿宋_GB2312"/>
          <w:b/>
          <w:bCs/>
          <w:sz w:val="36"/>
          <w:szCs w:val="36"/>
          <w:highlight w:val="none"/>
        </w:rPr>
        <w:t>目  录</w:t>
      </w:r>
      <w:r>
        <w:rPr>
          <w:rFonts w:hint="eastAsia" w:ascii="仿宋_GB2312" w:hAnsi="仿宋_GB2312" w:cs="仿宋_GB2312"/>
          <w:b/>
          <w:bCs/>
          <w:szCs w:val="24"/>
          <w:highlight w:val="none"/>
        </w:rPr>
        <w:fldChar w:fldCharType="begin"/>
      </w:r>
      <w:r>
        <w:rPr>
          <w:rFonts w:hint="eastAsia" w:ascii="仿宋_GB2312" w:hAnsi="仿宋_GB2312" w:cs="仿宋_GB2312"/>
          <w:b/>
          <w:bCs/>
          <w:szCs w:val="24"/>
          <w:highlight w:val="none"/>
        </w:rPr>
        <w:instrText xml:space="preserve"> TOC \o "1-2" \h \z \u </w:instrText>
      </w:r>
      <w:r>
        <w:rPr>
          <w:rFonts w:hint="eastAsia" w:ascii="仿宋_GB2312" w:hAnsi="仿宋_GB2312" w:cs="仿宋_GB2312"/>
          <w:b/>
          <w:bCs/>
          <w:szCs w:val="24"/>
          <w:highlight w:val="none"/>
        </w:rPr>
        <w:fldChar w:fldCharType="separate"/>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"_Toc11234" </w:instrText>
      </w:r>
      <w:r>
        <w:rPr>
          <w:highlight w:val="none"/>
        </w:rPr>
        <w:fldChar w:fldCharType="separate"/>
      </w:r>
      <w:r>
        <w:rPr>
          <w:rFonts w:hint="eastAsia" w:ascii="仿宋_GB2312" w:hAnsi="仿宋_GB2312" w:cs="仿宋_GB2312"/>
          <w:szCs w:val="36"/>
          <w:highlight w:val="none"/>
          <w:lang w:val="zh-CN" w:bidi="en-US"/>
        </w:rPr>
        <w:t>前  言</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_Toc11234 \h </w:instrText>
      </w:r>
      <w:r>
        <w:rPr>
          <w:rFonts w:hint="eastAsia" w:ascii="仿宋_GB2312" w:hAnsi="仿宋_GB2312" w:cs="仿宋_GB2312"/>
          <w:highlight w:val="none"/>
        </w:rPr>
        <w:fldChar w:fldCharType="separate"/>
      </w:r>
      <w:r>
        <w:rPr>
          <w:rFonts w:hint="eastAsia" w:ascii="仿宋_GB2312" w:hAnsi="仿宋_GB2312" w:cs="仿宋_GB2312"/>
          <w:highlight w:val="none"/>
        </w:rPr>
        <w:t>i</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"_Toc8506" </w:instrText>
      </w:r>
      <w:r>
        <w:rPr>
          <w:highlight w:val="none"/>
        </w:rPr>
        <w:fldChar w:fldCharType="separate"/>
      </w:r>
      <w:r>
        <w:rPr>
          <w:rFonts w:hint="eastAsia" w:ascii="仿宋_GB2312" w:hAnsi="仿宋_GB2312" w:cs="仿宋_GB2312"/>
          <w:highlight w:val="none"/>
        </w:rPr>
        <w:t>第一章 工作基础与形势分析</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_Toc8506 \h </w:instrText>
      </w:r>
      <w:r>
        <w:rPr>
          <w:rFonts w:hint="eastAsia" w:ascii="仿宋_GB2312" w:hAnsi="仿宋_GB2312" w:cs="仿宋_GB2312"/>
          <w:highlight w:val="none"/>
        </w:rPr>
        <w:fldChar w:fldCharType="separate"/>
      </w:r>
      <w:r>
        <w:rPr>
          <w:rFonts w:hint="eastAsia" w:ascii="仿宋_GB2312" w:hAnsi="仿宋_GB2312" w:cs="仿宋_GB2312"/>
          <w:highlight w:val="none"/>
        </w:rPr>
        <w:t>1</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"_Toc28906" </w:instrText>
      </w:r>
      <w:r>
        <w:rPr>
          <w:highlight w:val="none"/>
        </w:rPr>
        <w:fldChar w:fldCharType="separate"/>
      </w:r>
      <w:r>
        <w:rPr>
          <w:rFonts w:hint="eastAsia" w:ascii="仿宋_GB2312" w:hAnsi="仿宋_GB2312" w:eastAsia="仿宋_GB2312" w:cs="仿宋_GB2312"/>
          <w:highlight w:val="none"/>
        </w:rPr>
        <w:t>第一节 区域特征</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_Toc28906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1</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"_Toc3108" </w:instrText>
      </w:r>
      <w:r>
        <w:rPr>
          <w:highlight w:val="none"/>
        </w:rPr>
        <w:fldChar w:fldCharType="separate"/>
      </w:r>
      <w:r>
        <w:rPr>
          <w:rFonts w:hint="eastAsia" w:ascii="仿宋_GB2312" w:hAnsi="仿宋_GB2312" w:eastAsia="仿宋_GB2312" w:cs="仿宋_GB2312"/>
          <w:highlight w:val="none"/>
        </w:rPr>
        <w:t>第二节 建设基础</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_Toc3108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2</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"_Toc3915" </w:instrText>
      </w:r>
      <w:r>
        <w:rPr>
          <w:highlight w:val="none"/>
        </w:rPr>
        <w:fldChar w:fldCharType="separate"/>
      </w:r>
      <w:r>
        <w:rPr>
          <w:rFonts w:hint="eastAsia" w:ascii="仿宋_GB2312" w:hAnsi="仿宋_GB2312" w:cs="仿宋_GB2312"/>
          <w:highlight w:val="none"/>
        </w:rPr>
        <w:t>第二章 存在问题与机遇挑战</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_Toc3915 \h </w:instrText>
      </w:r>
      <w:r>
        <w:rPr>
          <w:rFonts w:hint="eastAsia" w:ascii="仿宋_GB2312" w:hAnsi="仿宋_GB2312" w:cs="仿宋_GB2312"/>
          <w:highlight w:val="none"/>
        </w:rPr>
        <w:fldChar w:fldCharType="separate"/>
      </w:r>
      <w:r>
        <w:rPr>
          <w:rFonts w:hint="eastAsia" w:ascii="仿宋_GB2312" w:hAnsi="仿宋_GB2312" w:cs="仿宋_GB2312"/>
          <w:highlight w:val="none"/>
        </w:rPr>
        <w:t>7</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"_Toc27720" </w:instrText>
      </w:r>
      <w:r>
        <w:rPr>
          <w:highlight w:val="none"/>
        </w:rPr>
        <w:fldChar w:fldCharType="separate"/>
      </w:r>
      <w:r>
        <w:rPr>
          <w:rFonts w:hint="eastAsia" w:ascii="仿宋_GB2312" w:hAnsi="仿宋_GB2312" w:eastAsia="仿宋_GB2312" w:cs="仿宋_GB2312"/>
          <w:highlight w:val="none"/>
        </w:rPr>
        <w:t>第一节 存在问题</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_Toc27720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7</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"_Toc13096" </w:instrText>
      </w:r>
      <w:r>
        <w:rPr>
          <w:highlight w:val="none"/>
        </w:rPr>
        <w:fldChar w:fldCharType="separate"/>
      </w:r>
      <w:r>
        <w:rPr>
          <w:rFonts w:hint="eastAsia" w:ascii="仿宋_GB2312" w:hAnsi="仿宋_GB2312" w:eastAsia="仿宋_GB2312" w:cs="仿宋_GB2312"/>
          <w:highlight w:val="none"/>
        </w:rPr>
        <w:t>第二节 机遇与挑战</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_Toc13096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9</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"_Toc20847" </w:instrText>
      </w:r>
      <w:r>
        <w:rPr>
          <w:highlight w:val="none"/>
        </w:rPr>
        <w:fldChar w:fldCharType="separate"/>
      </w:r>
      <w:r>
        <w:rPr>
          <w:rFonts w:hint="eastAsia" w:ascii="仿宋_GB2312" w:hAnsi="仿宋_GB2312" w:cs="仿宋_GB2312"/>
          <w:highlight w:val="none"/>
        </w:rPr>
        <w:t>第三章 规划总则</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_Toc20847 \h </w:instrText>
      </w:r>
      <w:r>
        <w:rPr>
          <w:rFonts w:hint="eastAsia" w:ascii="仿宋_GB2312" w:hAnsi="仿宋_GB2312" w:cs="仿宋_GB2312"/>
          <w:highlight w:val="none"/>
        </w:rPr>
        <w:fldChar w:fldCharType="separate"/>
      </w:r>
      <w:r>
        <w:rPr>
          <w:rFonts w:hint="eastAsia" w:ascii="仿宋_GB2312" w:hAnsi="仿宋_GB2312" w:cs="仿宋_GB2312"/>
          <w:highlight w:val="none"/>
        </w:rPr>
        <w:t>15</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"_Toc14484" </w:instrText>
      </w:r>
      <w:r>
        <w:rPr>
          <w:highlight w:val="none"/>
        </w:rPr>
        <w:fldChar w:fldCharType="separate"/>
      </w:r>
      <w:r>
        <w:rPr>
          <w:rFonts w:hint="eastAsia" w:ascii="仿宋_GB2312" w:hAnsi="仿宋_GB2312" w:eastAsia="仿宋_GB2312" w:cs="仿宋_GB2312"/>
          <w:highlight w:val="none"/>
        </w:rPr>
        <w:t>第一节 指导思想</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_Toc14484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15</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"_Toc11556" </w:instrText>
      </w:r>
      <w:r>
        <w:rPr>
          <w:highlight w:val="none"/>
        </w:rPr>
        <w:fldChar w:fldCharType="separate"/>
      </w:r>
      <w:r>
        <w:rPr>
          <w:rFonts w:hint="eastAsia" w:ascii="仿宋_GB2312" w:hAnsi="仿宋_GB2312" w:eastAsia="仿宋_GB2312" w:cs="仿宋_GB2312"/>
          <w:highlight w:val="none"/>
        </w:rPr>
        <w:t>第二节 基本原则</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_Toc11556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15</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"_Toc16810" </w:instrText>
      </w:r>
      <w:r>
        <w:rPr>
          <w:highlight w:val="none"/>
        </w:rPr>
        <w:fldChar w:fldCharType="separate"/>
      </w:r>
      <w:r>
        <w:rPr>
          <w:rFonts w:hint="eastAsia" w:ascii="仿宋_GB2312" w:hAnsi="仿宋_GB2312" w:eastAsia="仿宋_GB2312" w:cs="仿宋_GB2312"/>
          <w:highlight w:val="none"/>
        </w:rPr>
        <w:t>第三节 规划范围</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_Toc16810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16</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"_Toc7399" </w:instrText>
      </w:r>
      <w:r>
        <w:rPr>
          <w:highlight w:val="none"/>
        </w:rPr>
        <w:fldChar w:fldCharType="separate"/>
      </w:r>
      <w:r>
        <w:rPr>
          <w:rFonts w:hint="eastAsia" w:ascii="仿宋_GB2312" w:hAnsi="仿宋_GB2312" w:eastAsia="仿宋_GB2312" w:cs="仿宋_GB2312"/>
          <w:highlight w:val="none"/>
        </w:rPr>
        <w:t>第四节 规划时限</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_Toc7399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16</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"_Toc12912" </w:instrText>
      </w:r>
      <w:r>
        <w:rPr>
          <w:highlight w:val="none"/>
        </w:rPr>
        <w:fldChar w:fldCharType="separate"/>
      </w:r>
      <w:r>
        <w:rPr>
          <w:rFonts w:hint="eastAsia" w:ascii="仿宋_GB2312" w:hAnsi="仿宋_GB2312" w:eastAsia="仿宋_GB2312" w:cs="仿宋_GB2312"/>
          <w:highlight w:val="none"/>
        </w:rPr>
        <w:t>第五节 规划目标</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_Toc12912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16</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"_Toc26379" </w:instrText>
      </w:r>
      <w:r>
        <w:rPr>
          <w:highlight w:val="none"/>
        </w:rPr>
        <w:fldChar w:fldCharType="separate"/>
      </w:r>
      <w:r>
        <w:rPr>
          <w:rFonts w:hint="eastAsia" w:ascii="仿宋_GB2312" w:hAnsi="仿宋_GB2312" w:eastAsia="仿宋_GB2312" w:cs="仿宋_GB2312"/>
          <w:highlight w:val="none"/>
        </w:rPr>
        <w:t>第六节 建设指标</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_Toc26379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18</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"_Toc26823" </w:instrText>
      </w:r>
      <w:r>
        <w:rPr>
          <w:highlight w:val="none"/>
        </w:rPr>
        <w:fldChar w:fldCharType="separate"/>
      </w:r>
      <w:r>
        <w:rPr>
          <w:rFonts w:hint="eastAsia" w:ascii="仿宋_GB2312" w:hAnsi="仿宋_GB2312" w:cs="仿宋_GB2312"/>
          <w:highlight w:val="none"/>
        </w:rPr>
        <w:t>第四章 生态制度体系建设规划</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_Toc26823 \h </w:instrText>
      </w:r>
      <w:r>
        <w:rPr>
          <w:rFonts w:hint="eastAsia" w:ascii="仿宋_GB2312" w:hAnsi="仿宋_GB2312" w:cs="仿宋_GB2312"/>
          <w:highlight w:val="none"/>
        </w:rPr>
        <w:fldChar w:fldCharType="separate"/>
      </w:r>
      <w:r>
        <w:rPr>
          <w:rFonts w:hint="eastAsia" w:ascii="仿宋_GB2312" w:hAnsi="仿宋_GB2312" w:cs="仿宋_GB2312"/>
          <w:highlight w:val="none"/>
        </w:rPr>
        <w:t>29</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"_Toc18267" </w:instrText>
      </w:r>
      <w:r>
        <w:rPr>
          <w:highlight w:val="none"/>
        </w:rPr>
        <w:fldChar w:fldCharType="separate"/>
      </w:r>
      <w:r>
        <w:rPr>
          <w:rFonts w:hint="eastAsia" w:ascii="仿宋_GB2312" w:hAnsi="仿宋_GB2312" w:eastAsia="仿宋_GB2312" w:cs="仿宋_GB2312"/>
          <w:highlight w:val="none"/>
        </w:rPr>
        <w:t>第一节 强化生态环保制度顶层设计</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_Toc18267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29</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"_Toc30972" </w:instrText>
      </w:r>
      <w:r>
        <w:rPr>
          <w:highlight w:val="none"/>
        </w:rPr>
        <w:fldChar w:fldCharType="separate"/>
      </w:r>
      <w:r>
        <w:rPr>
          <w:rFonts w:hint="eastAsia" w:ascii="仿宋_GB2312" w:hAnsi="仿宋_GB2312" w:eastAsia="仿宋_GB2312" w:cs="仿宋_GB2312"/>
          <w:highlight w:val="none"/>
        </w:rPr>
        <w:t>第二节 建立资源高效节约利用制度</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_Toc30972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32</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"_Toc20978" </w:instrText>
      </w:r>
      <w:r>
        <w:rPr>
          <w:highlight w:val="none"/>
        </w:rPr>
        <w:fldChar w:fldCharType="separate"/>
      </w:r>
      <w:r>
        <w:rPr>
          <w:rFonts w:hint="eastAsia" w:ascii="仿宋_GB2312" w:hAnsi="仿宋_GB2312" w:eastAsia="仿宋_GB2312" w:cs="仿宋_GB2312"/>
          <w:highlight w:val="none"/>
        </w:rPr>
        <w:t>第三节 完善生态环境保护修复制度</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_Toc20978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35</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"_Toc15282" </w:instrText>
      </w:r>
      <w:r>
        <w:rPr>
          <w:highlight w:val="none"/>
        </w:rPr>
        <w:fldChar w:fldCharType="separate"/>
      </w:r>
      <w:r>
        <w:rPr>
          <w:rFonts w:hint="eastAsia" w:ascii="仿宋_GB2312" w:hAnsi="仿宋_GB2312" w:eastAsia="仿宋_GB2312" w:cs="仿宋_GB2312"/>
          <w:highlight w:val="none"/>
        </w:rPr>
        <w:t>第四节 严明生态环境保护责任制度</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_Toc15282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37</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"_Toc9722" </w:instrText>
      </w:r>
      <w:r>
        <w:rPr>
          <w:highlight w:val="none"/>
        </w:rPr>
        <w:fldChar w:fldCharType="separate"/>
      </w:r>
      <w:r>
        <w:rPr>
          <w:rFonts w:hint="eastAsia" w:ascii="仿宋_GB2312" w:hAnsi="仿宋_GB2312" w:eastAsia="仿宋_GB2312" w:cs="仿宋_GB2312"/>
          <w:highlight w:val="none"/>
        </w:rPr>
        <w:t>第五节 建立健全现代环境治理体系</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_Toc9722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39</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"_Toc8249" </w:instrText>
      </w:r>
      <w:r>
        <w:rPr>
          <w:highlight w:val="none"/>
        </w:rPr>
        <w:fldChar w:fldCharType="separate"/>
      </w:r>
      <w:r>
        <w:rPr>
          <w:rFonts w:hint="eastAsia" w:ascii="仿宋_GB2312" w:hAnsi="仿宋_GB2312" w:cs="仿宋_GB2312"/>
          <w:highlight w:val="none"/>
        </w:rPr>
        <w:t>第五章 生态安全体系建设规划</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_Toc8249 \h </w:instrText>
      </w:r>
      <w:r>
        <w:rPr>
          <w:rFonts w:hint="eastAsia" w:ascii="仿宋_GB2312" w:hAnsi="仿宋_GB2312" w:cs="仿宋_GB2312"/>
          <w:highlight w:val="none"/>
        </w:rPr>
        <w:fldChar w:fldCharType="separate"/>
      </w:r>
      <w:r>
        <w:rPr>
          <w:rFonts w:hint="eastAsia" w:ascii="仿宋_GB2312" w:hAnsi="仿宋_GB2312" w:cs="仿宋_GB2312"/>
          <w:highlight w:val="none"/>
        </w:rPr>
        <w:t>43</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"_Toc14117" </w:instrText>
      </w:r>
      <w:r>
        <w:rPr>
          <w:highlight w:val="none"/>
        </w:rPr>
        <w:fldChar w:fldCharType="separate"/>
      </w:r>
      <w:r>
        <w:rPr>
          <w:rFonts w:hint="eastAsia" w:ascii="仿宋_GB2312" w:hAnsi="仿宋_GB2312" w:eastAsia="仿宋_GB2312" w:cs="仿宋_GB2312"/>
          <w:highlight w:val="none"/>
        </w:rPr>
        <w:t>第一节 巩固并提升水环境质量</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_Toc14117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43</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"_Toc3734" </w:instrText>
      </w:r>
      <w:r>
        <w:rPr>
          <w:highlight w:val="none"/>
        </w:rPr>
        <w:fldChar w:fldCharType="separate"/>
      </w:r>
      <w:r>
        <w:rPr>
          <w:rFonts w:hint="eastAsia" w:ascii="仿宋_GB2312" w:hAnsi="仿宋_GB2312" w:eastAsia="仿宋_GB2312" w:cs="仿宋_GB2312"/>
          <w:highlight w:val="none"/>
        </w:rPr>
        <w:t>第二节 持续改善空气环境质量</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_Toc3734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45</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"_Toc27672" </w:instrText>
      </w:r>
      <w:r>
        <w:rPr>
          <w:highlight w:val="none"/>
        </w:rPr>
        <w:fldChar w:fldCharType="separate"/>
      </w:r>
      <w:r>
        <w:rPr>
          <w:rFonts w:hint="eastAsia" w:ascii="仿宋_GB2312" w:hAnsi="仿宋_GB2312" w:eastAsia="仿宋_GB2312" w:cs="仿宋_GB2312"/>
          <w:highlight w:val="none"/>
        </w:rPr>
        <w:t>第三节 强化土壤固废安全保障</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_Toc27672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47</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"_Toc16064" </w:instrText>
      </w:r>
      <w:r>
        <w:rPr>
          <w:highlight w:val="none"/>
        </w:rPr>
        <w:fldChar w:fldCharType="separate"/>
      </w:r>
      <w:r>
        <w:rPr>
          <w:rFonts w:hint="eastAsia" w:ascii="仿宋_GB2312" w:hAnsi="仿宋_GB2312" w:eastAsia="仿宋_GB2312" w:cs="仿宋_GB2312"/>
          <w:highlight w:val="none"/>
        </w:rPr>
        <w:t>第四节 加强区域噪声污染防治</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_Toc16064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49</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"_Toc302" </w:instrText>
      </w:r>
      <w:r>
        <w:rPr>
          <w:highlight w:val="none"/>
        </w:rPr>
        <w:fldChar w:fldCharType="separate"/>
      </w:r>
      <w:r>
        <w:rPr>
          <w:rFonts w:hint="eastAsia" w:ascii="仿宋_GB2312" w:hAnsi="仿宋_GB2312" w:eastAsia="仿宋_GB2312" w:cs="仿宋_GB2312"/>
          <w:highlight w:val="none"/>
        </w:rPr>
        <w:t>第五节 推进生态系统保护修复</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_Toc302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50</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"_Toc22245" </w:instrText>
      </w:r>
      <w:r>
        <w:rPr>
          <w:highlight w:val="none"/>
        </w:rPr>
        <w:fldChar w:fldCharType="separate"/>
      </w:r>
      <w:r>
        <w:rPr>
          <w:rFonts w:hint="eastAsia" w:ascii="仿宋_GB2312" w:hAnsi="仿宋_GB2312" w:eastAsia="仿宋_GB2312" w:cs="仿宋_GB2312"/>
          <w:highlight w:val="none"/>
        </w:rPr>
        <w:t>第六节 积极主动应对气候变化</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_Toc22245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52</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"_Toc23087" </w:instrText>
      </w:r>
      <w:r>
        <w:rPr>
          <w:highlight w:val="none"/>
        </w:rPr>
        <w:fldChar w:fldCharType="separate"/>
      </w:r>
      <w:r>
        <w:rPr>
          <w:rFonts w:hint="eastAsia" w:ascii="仿宋_GB2312" w:hAnsi="仿宋_GB2312" w:cs="仿宋_GB2312"/>
          <w:highlight w:val="none"/>
        </w:rPr>
        <w:t>第七章 生态空间体系建设规划</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_Toc23087 \h </w:instrText>
      </w:r>
      <w:r>
        <w:rPr>
          <w:rFonts w:hint="eastAsia" w:ascii="仿宋_GB2312" w:hAnsi="仿宋_GB2312" w:cs="仿宋_GB2312"/>
          <w:highlight w:val="none"/>
        </w:rPr>
        <w:fldChar w:fldCharType="separate"/>
      </w:r>
      <w:r>
        <w:rPr>
          <w:rFonts w:hint="eastAsia" w:ascii="仿宋_GB2312" w:hAnsi="仿宋_GB2312" w:cs="仿宋_GB2312"/>
          <w:highlight w:val="none"/>
        </w:rPr>
        <w:t>54</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"_Toc28849" </w:instrText>
      </w:r>
      <w:r>
        <w:rPr>
          <w:highlight w:val="none"/>
        </w:rPr>
        <w:fldChar w:fldCharType="separate"/>
      </w:r>
      <w:r>
        <w:rPr>
          <w:rFonts w:hint="eastAsia" w:ascii="仿宋_GB2312" w:hAnsi="仿宋_GB2312" w:eastAsia="仿宋_GB2312" w:cs="仿宋_GB2312"/>
          <w:highlight w:val="none"/>
        </w:rPr>
        <w:t>第一节 强化生态空间用途管制</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_Toc28849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54</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"_Toc760" </w:instrText>
      </w:r>
      <w:r>
        <w:rPr>
          <w:highlight w:val="none"/>
        </w:rPr>
        <w:fldChar w:fldCharType="separate"/>
      </w:r>
      <w:r>
        <w:rPr>
          <w:rFonts w:hint="eastAsia" w:ascii="仿宋_GB2312" w:hAnsi="仿宋_GB2312" w:eastAsia="仿宋_GB2312" w:cs="仿宋_GB2312"/>
          <w:highlight w:val="none"/>
        </w:rPr>
        <w:t xml:space="preserve">第二节 </w:t>
      </w:r>
      <w:r>
        <w:rPr>
          <w:rFonts w:hint="eastAsia" w:ascii="仿宋_GB2312" w:hAnsi="仿宋_GB2312" w:eastAsia="仿宋_GB2312" w:cs="仿宋_GB2312"/>
          <w:highlight w:val="none"/>
          <w:lang w:val="en"/>
        </w:rPr>
        <w:t>推动</w:t>
      </w:r>
      <w:r>
        <w:rPr>
          <w:rFonts w:hint="eastAsia" w:ascii="仿宋_GB2312" w:hAnsi="仿宋_GB2312" w:eastAsia="仿宋_GB2312" w:cs="仿宋_GB2312"/>
          <w:highlight w:val="none"/>
        </w:rPr>
        <w:t>自然保护地体系建设</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_Toc760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54</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"_Toc26093" </w:instrText>
      </w:r>
      <w:r>
        <w:rPr>
          <w:highlight w:val="none"/>
        </w:rPr>
        <w:fldChar w:fldCharType="separate"/>
      </w:r>
      <w:r>
        <w:rPr>
          <w:rFonts w:hint="eastAsia" w:ascii="仿宋_GB2312" w:hAnsi="仿宋_GB2312" w:eastAsia="仿宋_GB2312" w:cs="仿宋_GB2312"/>
          <w:highlight w:val="none"/>
        </w:rPr>
        <w:t>第三节 加强河湖岸线保护与利用</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_Toc26093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55</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"_Toc24100" </w:instrText>
      </w:r>
      <w:r>
        <w:rPr>
          <w:highlight w:val="none"/>
        </w:rPr>
        <w:fldChar w:fldCharType="separate"/>
      </w:r>
      <w:r>
        <w:rPr>
          <w:rFonts w:hint="eastAsia" w:ascii="仿宋_GB2312" w:hAnsi="仿宋_GB2312" w:cs="仿宋_GB2312"/>
          <w:highlight w:val="none"/>
        </w:rPr>
        <w:t>第八章 生态经济体系建设规划</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_Toc24100 \h </w:instrText>
      </w:r>
      <w:r>
        <w:rPr>
          <w:rFonts w:hint="eastAsia" w:ascii="仿宋_GB2312" w:hAnsi="仿宋_GB2312" w:cs="仿宋_GB2312"/>
          <w:highlight w:val="none"/>
        </w:rPr>
        <w:fldChar w:fldCharType="separate"/>
      </w:r>
      <w:r>
        <w:rPr>
          <w:rFonts w:hint="eastAsia" w:ascii="仿宋_GB2312" w:hAnsi="仿宋_GB2312" w:cs="仿宋_GB2312"/>
          <w:highlight w:val="none"/>
        </w:rPr>
        <w:t>56</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"_Toc1773" </w:instrText>
      </w:r>
      <w:r>
        <w:rPr>
          <w:highlight w:val="none"/>
        </w:rPr>
        <w:fldChar w:fldCharType="separate"/>
      </w:r>
      <w:r>
        <w:rPr>
          <w:rFonts w:hint="eastAsia" w:ascii="仿宋_GB2312" w:hAnsi="仿宋_GB2312" w:eastAsia="仿宋_GB2312" w:cs="仿宋_GB2312"/>
          <w:highlight w:val="none"/>
        </w:rPr>
        <w:t>第一节 推动生态产业发展</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_Toc1773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56</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"_Toc14900" </w:instrText>
      </w:r>
      <w:r>
        <w:rPr>
          <w:highlight w:val="none"/>
        </w:rPr>
        <w:fldChar w:fldCharType="separate"/>
      </w:r>
      <w:r>
        <w:rPr>
          <w:rFonts w:hint="eastAsia" w:ascii="仿宋_GB2312" w:hAnsi="仿宋_GB2312" w:eastAsia="仿宋_GB2312" w:cs="仿宋_GB2312"/>
          <w:highlight w:val="none"/>
        </w:rPr>
        <w:t>第二节 构建现代产业体系</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_Toc14900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57</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"_Toc12716" </w:instrText>
      </w:r>
      <w:r>
        <w:rPr>
          <w:highlight w:val="none"/>
        </w:rPr>
        <w:fldChar w:fldCharType="separate"/>
      </w:r>
      <w:r>
        <w:rPr>
          <w:rFonts w:hint="eastAsia" w:ascii="仿宋_GB2312" w:hAnsi="仿宋_GB2312" w:eastAsia="仿宋_GB2312" w:cs="仿宋_GB2312"/>
          <w:highlight w:val="none"/>
        </w:rPr>
        <w:t>第三节 加快能源结构调整</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_Toc12716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61</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"_Toc2252" </w:instrText>
      </w:r>
      <w:r>
        <w:rPr>
          <w:highlight w:val="none"/>
        </w:rPr>
        <w:fldChar w:fldCharType="separate"/>
      </w:r>
      <w:r>
        <w:rPr>
          <w:rFonts w:hint="eastAsia" w:ascii="仿宋_GB2312" w:hAnsi="仿宋_GB2312" w:eastAsia="仿宋_GB2312" w:cs="仿宋_GB2312"/>
          <w:highlight w:val="none"/>
        </w:rPr>
        <w:t>第四节 加速运输结构调整</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_Toc2252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62</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"_Toc4348" </w:instrText>
      </w:r>
      <w:r>
        <w:rPr>
          <w:highlight w:val="none"/>
        </w:rPr>
        <w:fldChar w:fldCharType="separate"/>
      </w:r>
      <w:r>
        <w:rPr>
          <w:rFonts w:hint="eastAsia" w:ascii="仿宋_GB2312" w:hAnsi="仿宋_GB2312" w:eastAsia="仿宋_GB2312" w:cs="仿宋_GB2312"/>
          <w:highlight w:val="none"/>
        </w:rPr>
        <w:t>第五节 推动行业清洁化生产</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_Toc4348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62</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"_Toc8165" </w:instrText>
      </w:r>
      <w:r>
        <w:rPr>
          <w:highlight w:val="none"/>
        </w:rPr>
        <w:fldChar w:fldCharType="separate"/>
      </w:r>
      <w:r>
        <w:rPr>
          <w:rFonts w:hint="eastAsia" w:ascii="仿宋_GB2312" w:hAnsi="仿宋_GB2312" w:eastAsia="仿宋_GB2312" w:cs="仿宋_GB2312"/>
          <w:highlight w:val="none"/>
        </w:rPr>
        <w:t>第六节 提升园区循环化改造</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_Toc8165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63</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"_Toc31919" </w:instrText>
      </w:r>
      <w:r>
        <w:rPr>
          <w:highlight w:val="none"/>
        </w:rPr>
        <w:fldChar w:fldCharType="separate"/>
      </w:r>
      <w:r>
        <w:rPr>
          <w:rFonts w:hint="eastAsia" w:ascii="仿宋_GB2312" w:hAnsi="仿宋_GB2312" w:cs="仿宋_GB2312"/>
          <w:highlight w:val="none"/>
        </w:rPr>
        <w:t>第十章 生态生活体系建设规划</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_Toc31919 \h </w:instrText>
      </w:r>
      <w:r>
        <w:rPr>
          <w:rFonts w:hint="eastAsia" w:ascii="仿宋_GB2312" w:hAnsi="仿宋_GB2312" w:cs="仿宋_GB2312"/>
          <w:highlight w:val="none"/>
        </w:rPr>
        <w:fldChar w:fldCharType="separate"/>
      </w:r>
      <w:r>
        <w:rPr>
          <w:rFonts w:hint="eastAsia" w:ascii="仿宋_GB2312" w:hAnsi="仿宋_GB2312" w:cs="仿宋_GB2312"/>
          <w:highlight w:val="none"/>
        </w:rPr>
        <w:t>65</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"_Toc23666" </w:instrText>
      </w:r>
      <w:r>
        <w:rPr>
          <w:highlight w:val="none"/>
        </w:rPr>
        <w:fldChar w:fldCharType="separate"/>
      </w:r>
      <w:r>
        <w:rPr>
          <w:rFonts w:hint="eastAsia" w:ascii="仿宋_GB2312" w:hAnsi="仿宋_GB2312" w:eastAsia="仿宋_GB2312" w:cs="仿宋_GB2312"/>
          <w:highlight w:val="none"/>
        </w:rPr>
        <w:t>第一节 推进城乡环境一体化建设</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_Toc23666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65</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"_Toc25270" </w:instrText>
      </w:r>
      <w:r>
        <w:rPr>
          <w:highlight w:val="none"/>
        </w:rPr>
        <w:fldChar w:fldCharType="separate"/>
      </w:r>
      <w:r>
        <w:rPr>
          <w:rFonts w:hint="eastAsia" w:ascii="仿宋_GB2312" w:hAnsi="仿宋_GB2312" w:eastAsia="仿宋_GB2312" w:cs="仿宋_GB2312"/>
          <w:highlight w:val="none"/>
        </w:rPr>
        <w:t>第二节 促进人居环境再优化</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_Toc25270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67</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"_Toc1907" </w:instrText>
      </w:r>
      <w:r>
        <w:rPr>
          <w:highlight w:val="none"/>
        </w:rPr>
        <w:fldChar w:fldCharType="separate"/>
      </w:r>
      <w:r>
        <w:rPr>
          <w:rFonts w:hint="eastAsia" w:ascii="仿宋_GB2312" w:hAnsi="仿宋_GB2312" w:eastAsia="仿宋_GB2312" w:cs="仿宋_GB2312"/>
          <w:highlight w:val="none"/>
        </w:rPr>
        <w:t>第三节 加快振兴美丽乡村</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_Toc1907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68</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"_Toc14860" </w:instrText>
      </w:r>
      <w:r>
        <w:rPr>
          <w:highlight w:val="none"/>
        </w:rPr>
        <w:fldChar w:fldCharType="separate"/>
      </w:r>
      <w:r>
        <w:rPr>
          <w:rFonts w:hint="eastAsia" w:ascii="仿宋_GB2312" w:hAnsi="仿宋_GB2312" w:eastAsia="仿宋_GB2312" w:cs="仿宋_GB2312"/>
          <w:highlight w:val="none"/>
        </w:rPr>
        <w:t>第四节 倡导绿色生活方式</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_Toc14860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70</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"_Toc10630" </w:instrText>
      </w:r>
      <w:r>
        <w:rPr>
          <w:highlight w:val="none"/>
        </w:rPr>
        <w:fldChar w:fldCharType="separate"/>
      </w:r>
      <w:r>
        <w:rPr>
          <w:rFonts w:hint="eastAsia" w:ascii="仿宋_GB2312" w:hAnsi="仿宋_GB2312" w:cs="仿宋_GB2312"/>
          <w:highlight w:val="none"/>
        </w:rPr>
        <w:t>第十一章 生态文化体系建设规划</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_Toc10630 \h </w:instrText>
      </w:r>
      <w:r>
        <w:rPr>
          <w:rFonts w:hint="eastAsia" w:ascii="仿宋_GB2312" w:hAnsi="仿宋_GB2312" w:cs="仿宋_GB2312"/>
          <w:highlight w:val="none"/>
        </w:rPr>
        <w:fldChar w:fldCharType="separate"/>
      </w:r>
      <w:r>
        <w:rPr>
          <w:rFonts w:hint="eastAsia" w:ascii="仿宋_GB2312" w:hAnsi="仿宋_GB2312" w:cs="仿宋_GB2312"/>
          <w:highlight w:val="none"/>
        </w:rPr>
        <w:t>72</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"_Toc18492" </w:instrText>
      </w:r>
      <w:r>
        <w:rPr>
          <w:highlight w:val="none"/>
        </w:rPr>
        <w:fldChar w:fldCharType="separate"/>
      </w:r>
      <w:r>
        <w:rPr>
          <w:rFonts w:hint="eastAsia" w:ascii="仿宋_GB2312" w:hAnsi="仿宋_GB2312" w:eastAsia="仿宋_GB2312" w:cs="仿宋_GB2312"/>
          <w:highlight w:val="none"/>
        </w:rPr>
        <w:t>第一节 推动生态文化载体建设</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_Toc18492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72</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"_Toc23518" </w:instrText>
      </w:r>
      <w:r>
        <w:rPr>
          <w:highlight w:val="none"/>
        </w:rPr>
        <w:fldChar w:fldCharType="separate"/>
      </w:r>
      <w:r>
        <w:rPr>
          <w:rFonts w:hint="eastAsia" w:ascii="仿宋_GB2312" w:hAnsi="仿宋_GB2312" w:eastAsia="仿宋_GB2312" w:cs="仿宋_GB2312"/>
          <w:highlight w:val="none"/>
        </w:rPr>
        <w:t>第二节 推进生态文明培训宣教</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_Toc23518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74</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"_Toc27677" </w:instrText>
      </w:r>
      <w:r>
        <w:rPr>
          <w:highlight w:val="none"/>
        </w:rPr>
        <w:fldChar w:fldCharType="separate"/>
      </w:r>
      <w:r>
        <w:rPr>
          <w:rFonts w:hint="eastAsia" w:ascii="仿宋_GB2312" w:hAnsi="仿宋_GB2312" w:eastAsia="仿宋_GB2312" w:cs="仿宋_GB2312"/>
          <w:highlight w:val="none"/>
        </w:rPr>
        <w:t>第三节 加快生态文明共建共享</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_Toc27677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76</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"_Toc19106" </w:instrText>
      </w:r>
      <w:r>
        <w:rPr>
          <w:highlight w:val="none"/>
        </w:rPr>
        <w:fldChar w:fldCharType="separate"/>
      </w:r>
      <w:r>
        <w:rPr>
          <w:rFonts w:hint="eastAsia" w:ascii="仿宋_GB2312" w:hAnsi="仿宋_GB2312" w:cs="仿宋_GB2312"/>
          <w:highlight w:val="none"/>
        </w:rPr>
        <w:t>第十二章 重点工程</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_Toc19106 \h </w:instrText>
      </w:r>
      <w:r>
        <w:rPr>
          <w:rFonts w:hint="eastAsia" w:ascii="仿宋_GB2312" w:hAnsi="仿宋_GB2312" w:cs="仿宋_GB2312"/>
          <w:highlight w:val="none"/>
        </w:rPr>
        <w:fldChar w:fldCharType="separate"/>
      </w:r>
      <w:r>
        <w:rPr>
          <w:rFonts w:hint="eastAsia" w:ascii="仿宋_GB2312" w:hAnsi="仿宋_GB2312" w:cs="仿宋_GB2312"/>
          <w:highlight w:val="none"/>
        </w:rPr>
        <w:t>77</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"_Toc28474" </w:instrText>
      </w:r>
      <w:r>
        <w:rPr>
          <w:highlight w:val="none"/>
        </w:rPr>
        <w:fldChar w:fldCharType="separate"/>
      </w:r>
      <w:r>
        <w:rPr>
          <w:rFonts w:hint="eastAsia" w:ascii="仿宋_GB2312" w:hAnsi="仿宋_GB2312" w:cs="仿宋_GB2312"/>
          <w:highlight w:val="none"/>
        </w:rPr>
        <w:t>第十三章 效益分析</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_Toc28474 \h </w:instrText>
      </w:r>
      <w:r>
        <w:rPr>
          <w:rFonts w:hint="eastAsia" w:ascii="仿宋_GB2312" w:hAnsi="仿宋_GB2312" w:cs="仿宋_GB2312"/>
          <w:highlight w:val="none"/>
        </w:rPr>
        <w:fldChar w:fldCharType="separate"/>
      </w:r>
      <w:r>
        <w:rPr>
          <w:rFonts w:hint="eastAsia" w:ascii="仿宋_GB2312" w:hAnsi="仿宋_GB2312" w:cs="仿宋_GB2312"/>
          <w:highlight w:val="none"/>
        </w:rPr>
        <w:t>80</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"_Toc14124" </w:instrText>
      </w:r>
      <w:r>
        <w:rPr>
          <w:highlight w:val="none"/>
        </w:rPr>
        <w:fldChar w:fldCharType="separate"/>
      </w:r>
      <w:r>
        <w:rPr>
          <w:rFonts w:hint="eastAsia" w:ascii="仿宋_GB2312" w:hAnsi="仿宋_GB2312" w:eastAsia="仿宋_GB2312" w:cs="仿宋_GB2312"/>
          <w:highlight w:val="none"/>
        </w:rPr>
        <w:t>第一节 生态效益</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_Toc14124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80</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"_Toc7067" </w:instrText>
      </w:r>
      <w:r>
        <w:rPr>
          <w:highlight w:val="none"/>
        </w:rPr>
        <w:fldChar w:fldCharType="separate"/>
      </w:r>
      <w:r>
        <w:rPr>
          <w:rFonts w:hint="eastAsia" w:ascii="仿宋_GB2312" w:hAnsi="仿宋_GB2312" w:eastAsia="仿宋_GB2312" w:cs="仿宋_GB2312"/>
          <w:highlight w:val="none"/>
        </w:rPr>
        <w:t>第二节 社会效益</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_Toc7067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81</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"_Toc24874" </w:instrText>
      </w:r>
      <w:r>
        <w:rPr>
          <w:highlight w:val="none"/>
        </w:rPr>
        <w:fldChar w:fldCharType="separate"/>
      </w:r>
      <w:r>
        <w:rPr>
          <w:rFonts w:hint="eastAsia" w:ascii="仿宋_GB2312" w:hAnsi="仿宋_GB2312" w:eastAsia="仿宋_GB2312" w:cs="仿宋_GB2312"/>
          <w:highlight w:val="none"/>
        </w:rPr>
        <w:t>第三节 经济效益</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_Toc24874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83</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306"/>
        </w:tabs>
        <w:ind w:firstLine="560"/>
        <w:rPr>
          <w:rFonts w:ascii="仿宋_GB2312" w:hAnsi="仿宋_GB2312" w:cs="仿宋_GB2312"/>
          <w:highlight w:val="none"/>
        </w:rPr>
      </w:pPr>
      <w:r>
        <w:rPr>
          <w:highlight w:val="none"/>
        </w:rPr>
        <w:fldChar w:fldCharType="begin"/>
      </w:r>
      <w:r>
        <w:rPr>
          <w:highlight w:val="none"/>
        </w:rPr>
        <w:instrText xml:space="preserve"> HYPERLINK \l "_Toc215" </w:instrText>
      </w:r>
      <w:r>
        <w:rPr>
          <w:highlight w:val="none"/>
        </w:rPr>
        <w:fldChar w:fldCharType="separate"/>
      </w:r>
      <w:r>
        <w:rPr>
          <w:rFonts w:hint="eastAsia" w:ascii="仿宋_GB2312" w:hAnsi="仿宋_GB2312" w:cs="仿宋_GB2312"/>
          <w:highlight w:val="none"/>
        </w:rPr>
        <w:t>第十四章 保障措施</w:t>
      </w:r>
      <w:r>
        <w:rPr>
          <w:rFonts w:hint="eastAsia" w:ascii="仿宋_GB2312" w:hAnsi="仿宋_GB2312" w:cs="仿宋_GB2312"/>
          <w:highlight w:val="none"/>
        </w:rPr>
        <w:tab/>
      </w:r>
      <w:r>
        <w:rPr>
          <w:rFonts w:hint="eastAsia" w:ascii="仿宋_GB2312" w:hAnsi="仿宋_GB2312" w:cs="仿宋_GB2312"/>
          <w:highlight w:val="none"/>
        </w:rPr>
        <w:fldChar w:fldCharType="begin"/>
      </w:r>
      <w:r>
        <w:rPr>
          <w:rFonts w:hint="eastAsia" w:ascii="仿宋_GB2312" w:hAnsi="仿宋_GB2312" w:cs="仿宋_GB2312"/>
          <w:highlight w:val="none"/>
        </w:rPr>
        <w:instrText xml:space="preserve"> PAGEREF _Toc215 \h </w:instrText>
      </w:r>
      <w:r>
        <w:rPr>
          <w:rFonts w:hint="eastAsia" w:ascii="仿宋_GB2312" w:hAnsi="仿宋_GB2312" w:cs="仿宋_GB2312"/>
          <w:highlight w:val="none"/>
        </w:rPr>
        <w:fldChar w:fldCharType="separate"/>
      </w:r>
      <w:r>
        <w:rPr>
          <w:rFonts w:hint="eastAsia" w:ascii="仿宋_GB2312" w:hAnsi="仿宋_GB2312" w:cs="仿宋_GB2312"/>
          <w:highlight w:val="none"/>
        </w:rPr>
        <w:t>85</w:t>
      </w:r>
      <w:r>
        <w:rPr>
          <w:rFonts w:hint="eastAsia" w:ascii="仿宋_GB2312" w:hAnsi="仿宋_GB2312" w:cs="仿宋_GB2312"/>
          <w:highlight w:val="none"/>
        </w:rPr>
        <w:fldChar w:fldCharType="end"/>
      </w:r>
      <w:r>
        <w:rPr>
          <w:rFonts w:hint="eastAsia" w:ascii="仿宋_GB2312" w:hAnsi="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"_Toc13817" </w:instrText>
      </w:r>
      <w:r>
        <w:rPr>
          <w:highlight w:val="none"/>
        </w:rPr>
        <w:fldChar w:fldCharType="separate"/>
      </w:r>
      <w:r>
        <w:rPr>
          <w:rFonts w:hint="eastAsia" w:ascii="仿宋_GB2312" w:hAnsi="仿宋_GB2312" w:eastAsia="仿宋_GB2312" w:cs="仿宋_GB2312"/>
          <w:highlight w:val="none"/>
        </w:rPr>
        <w:t>第一节 组织保障</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_Toc13817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85</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"_Toc27269" </w:instrText>
      </w:r>
      <w:r>
        <w:rPr>
          <w:highlight w:val="none"/>
        </w:rPr>
        <w:fldChar w:fldCharType="separate"/>
      </w:r>
      <w:r>
        <w:rPr>
          <w:rFonts w:hint="eastAsia" w:ascii="仿宋_GB2312" w:hAnsi="仿宋_GB2312" w:eastAsia="仿宋_GB2312" w:cs="仿宋_GB2312"/>
          <w:highlight w:val="none"/>
        </w:rPr>
        <w:t>第二节 能力保障</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_Toc27269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85</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"_Toc24502" </w:instrText>
      </w:r>
      <w:r>
        <w:rPr>
          <w:highlight w:val="none"/>
        </w:rPr>
        <w:fldChar w:fldCharType="separate"/>
      </w:r>
      <w:r>
        <w:rPr>
          <w:rFonts w:hint="eastAsia" w:ascii="仿宋_GB2312" w:hAnsi="仿宋_GB2312" w:eastAsia="仿宋_GB2312" w:cs="仿宋_GB2312"/>
          <w:highlight w:val="none"/>
        </w:rPr>
        <w:t>第三节 资金保障</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_Toc24502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86</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"_Toc23447" </w:instrText>
      </w:r>
      <w:r>
        <w:rPr>
          <w:highlight w:val="none"/>
        </w:rPr>
        <w:fldChar w:fldCharType="separate"/>
      </w:r>
      <w:r>
        <w:rPr>
          <w:rFonts w:hint="eastAsia" w:ascii="仿宋_GB2312" w:hAnsi="仿宋_GB2312" w:eastAsia="仿宋_GB2312" w:cs="仿宋_GB2312"/>
          <w:highlight w:val="none"/>
        </w:rPr>
        <w:t>第四节 科技支撑</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_Toc23447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86</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5"/>
        <w:tabs>
          <w:tab w:val="right" w:leader="dot" w:pos="8306"/>
        </w:tabs>
        <w:ind w:left="560" w:firstLine="560"/>
        <w:rPr>
          <w:rFonts w:ascii="仿宋_GB2312" w:hAnsi="仿宋_GB2312" w:eastAsia="仿宋_GB2312" w:cs="仿宋_GB2312"/>
          <w:highlight w:val="none"/>
        </w:rPr>
      </w:pPr>
      <w:r>
        <w:rPr>
          <w:highlight w:val="none"/>
        </w:rPr>
        <w:fldChar w:fldCharType="begin"/>
      </w:r>
      <w:r>
        <w:rPr>
          <w:highlight w:val="none"/>
        </w:rPr>
        <w:instrText xml:space="preserve"> HYPERLINK \l "_Toc22986" </w:instrText>
      </w:r>
      <w:r>
        <w:rPr>
          <w:highlight w:val="none"/>
        </w:rPr>
        <w:fldChar w:fldCharType="separate"/>
      </w:r>
      <w:r>
        <w:rPr>
          <w:rFonts w:hint="eastAsia" w:ascii="仿宋_GB2312" w:hAnsi="仿宋_GB2312" w:eastAsia="仿宋_GB2312" w:cs="仿宋_GB2312"/>
          <w:highlight w:val="none"/>
        </w:rPr>
        <w:t>第五节 公众参与</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PAGEREF _Toc22986 \h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highlight w:val="none"/>
        </w:rPr>
        <w:t>87</w:t>
      </w:r>
      <w:r>
        <w:rPr>
          <w:rFonts w:hint="eastAsia" w:ascii="仿宋_GB2312" w:hAnsi="仿宋_GB2312" w:eastAsia="仿宋_GB2312" w:cs="仿宋_GB2312"/>
          <w:highlight w:val="none"/>
        </w:rPr>
        <w:fldChar w:fldCharType="end"/>
      </w:r>
      <w:r>
        <w:rPr>
          <w:rFonts w:hint="eastAsia" w:ascii="仿宋_GB2312" w:hAnsi="仿宋_GB2312" w:eastAsia="仿宋_GB2312" w:cs="仿宋_GB2312"/>
          <w:highlight w:val="none"/>
        </w:rPr>
        <w:fldChar w:fldCharType="end"/>
      </w:r>
    </w:p>
    <w:p>
      <w:pPr>
        <w:pStyle w:val="23"/>
        <w:tabs>
          <w:tab w:val="right" w:leader="dot" w:pos="8296"/>
        </w:tabs>
        <w:snapToGrid w:val="0"/>
        <w:spacing w:line="240" w:lineRule="auto"/>
        <w:ind w:firstLine="720" w:firstLineChars="0"/>
        <w:jc w:val="center"/>
        <w:rPr>
          <w:rFonts w:ascii="仿宋_GB2312" w:hAnsi="仿宋_GB2312" w:cs="仿宋_GB2312"/>
          <w:sz w:val="30"/>
          <w:szCs w:val="30"/>
          <w:highlight w:val="none"/>
        </w:rPr>
      </w:pPr>
      <w:r>
        <w:rPr>
          <w:rFonts w:hint="eastAsia" w:ascii="仿宋_GB2312" w:hAnsi="仿宋_GB2312" w:cs="仿宋_GB2312"/>
          <w:b/>
          <w:bCs/>
          <w:szCs w:val="24"/>
          <w:highlight w:val="none"/>
        </w:rPr>
        <w:fldChar w:fldCharType="end"/>
      </w:r>
    </w:p>
    <w:p>
      <w:pPr>
        <w:ind w:firstLine="600"/>
        <w:rPr>
          <w:rFonts w:ascii="仿宋_GB2312" w:hAnsi="仿宋_GB2312" w:cs="仿宋_GB2312"/>
          <w:sz w:val="30"/>
          <w:szCs w:val="30"/>
          <w:highlight w:val="none"/>
        </w:rPr>
        <w:sectPr>
          <w:footerReference r:id="rId16" w:type="default"/>
          <w:pgSz w:w="11906" w:h="16838"/>
          <w:pgMar w:top="1440" w:right="1800" w:bottom="1440" w:left="1800" w:header="851" w:footer="992" w:gutter="0"/>
          <w:pgNumType w:fmt="upperRoman" w:start="1"/>
          <w:cols w:space="425" w:num="1"/>
          <w:docGrid w:type="lines" w:linePitch="312" w:charSpace="0"/>
        </w:sectPr>
      </w:pPr>
    </w:p>
    <w:p>
      <w:pPr>
        <w:pStyle w:val="2"/>
        <w:rPr>
          <w:highlight w:val="none"/>
        </w:rPr>
      </w:pPr>
      <w:bookmarkStart w:id="59" w:name="_Toc26395"/>
      <w:bookmarkStart w:id="60" w:name="_Toc8506"/>
      <w:bookmarkStart w:id="61" w:name="_Toc26635"/>
      <w:bookmarkStart w:id="62" w:name="_Toc143041416"/>
      <w:bookmarkStart w:id="63" w:name="_Toc11632"/>
      <w:r>
        <w:rPr>
          <w:rFonts w:hint="eastAsia"/>
          <w:highlight w:val="none"/>
        </w:rPr>
        <w:t>工作基础与</w:t>
      </w:r>
      <w:bookmarkEnd w:id="59"/>
      <w:r>
        <w:rPr>
          <w:rFonts w:hint="eastAsia"/>
          <w:highlight w:val="none"/>
        </w:rPr>
        <w:t>形势分析</w:t>
      </w:r>
      <w:bookmarkEnd w:id="60"/>
      <w:bookmarkEnd w:id="61"/>
      <w:bookmarkEnd w:id="62"/>
      <w:bookmarkEnd w:id="63"/>
    </w:p>
    <w:p>
      <w:pPr>
        <w:pStyle w:val="3"/>
        <w:rPr>
          <w:b/>
          <w:bCs w:val="0"/>
          <w:highlight w:val="none"/>
        </w:rPr>
      </w:pPr>
      <w:bookmarkStart w:id="64" w:name="_Toc12560"/>
      <w:bookmarkStart w:id="65" w:name="_Toc143041417"/>
      <w:bookmarkStart w:id="66" w:name="_Toc19085"/>
      <w:bookmarkStart w:id="67" w:name="_Toc28906"/>
      <w:bookmarkStart w:id="68" w:name="_Toc5625"/>
      <w:bookmarkStart w:id="69" w:name="_Toc14302"/>
      <w:r>
        <w:rPr>
          <w:rFonts w:hint="eastAsia"/>
          <w:b/>
          <w:bCs w:val="0"/>
          <w:highlight w:val="none"/>
        </w:rPr>
        <w:t>区域</w:t>
      </w:r>
      <w:bookmarkEnd w:id="64"/>
      <w:r>
        <w:rPr>
          <w:rFonts w:hint="eastAsia"/>
          <w:b/>
          <w:bCs w:val="0"/>
          <w:highlight w:val="none"/>
        </w:rPr>
        <w:t>特征</w:t>
      </w:r>
      <w:bookmarkEnd w:id="65"/>
      <w:bookmarkEnd w:id="66"/>
      <w:bookmarkEnd w:id="67"/>
      <w:bookmarkEnd w:id="68"/>
    </w:p>
    <w:bookmarkEnd w:id="69"/>
    <w:p>
      <w:pPr>
        <w:ind w:firstLine="560"/>
        <w:rPr>
          <w:rFonts w:cs="Times New Roman"/>
          <w:szCs w:val="28"/>
          <w:highlight w:val="none"/>
        </w:rPr>
      </w:pPr>
      <w:bookmarkStart w:id="70" w:name="_Toc143041418"/>
      <w:bookmarkStart w:id="71" w:name="_Toc31093"/>
      <w:bookmarkStart w:id="72" w:name="_Toc5813"/>
      <w:r>
        <w:rPr>
          <w:rFonts w:hint="eastAsia" w:cs="Times New Roman"/>
          <w:szCs w:val="28"/>
          <w:highlight w:val="none"/>
        </w:rPr>
        <w:t>泰山区位于泰安市中部，北依泰山，东西南三面与泰安市岱岳区搭界，北部与济南市历城区、长清区毗连，总面积336.98平方公里，2022年常住人口80.08万人，辖5个街道、2个镇，共191个社区、村，其中社区76个，行政村115个，包括1个省级经济开发区、1个省级旅游度假区、1个国家现代农业产业园、1个国家农业科技园区，是全省唯一一家拥有两个“国字号”农业园区的县市区。</w:t>
      </w:r>
    </w:p>
    <w:p>
      <w:pPr>
        <w:ind w:firstLine="560"/>
        <w:rPr>
          <w:rFonts w:cs="Times New Roman"/>
          <w:szCs w:val="28"/>
          <w:highlight w:val="none"/>
        </w:rPr>
      </w:pPr>
      <w:r>
        <w:rPr>
          <w:rFonts w:hint="eastAsia" w:cs="Times New Roman"/>
          <w:highlight w:val="none"/>
        </w:rPr>
        <w:t>泰山区气候</w:t>
      </w:r>
      <w:r>
        <w:rPr>
          <w:rFonts w:cs="Times New Roman"/>
          <w:highlight w:val="none"/>
        </w:rPr>
        <w:t>四季分明，</w:t>
      </w:r>
      <w:r>
        <w:rPr>
          <w:rFonts w:cs="Times New Roman"/>
          <w:szCs w:val="24"/>
          <w:highlight w:val="none"/>
        </w:rPr>
        <w:t>河流属黄河流域，</w:t>
      </w:r>
      <w:r>
        <w:rPr>
          <w:rFonts w:hint="eastAsia" w:cs="Times New Roman"/>
          <w:szCs w:val="24"/>
          <w:highlight w:val="none"/>
        </w:rPr>
        <w:t>生物资源、矿产资源、文化旅游资源</w:t>
      </w:r>
      <w:r>
        <w:rPr>
          <w:rFonts w:cs="Times New Roman"/>
          <w:szCs w:val="24"/>
          <w:highlight w:val="none"/>
        </w:rPr>
        <w:t>丰富</w:t>
      </w:r>
      <w:r>
        <w:rPr>
          <w:rFonts w:hint="eastAsia" w:cs="Times New Roman"/>
          <w:szCs w:val="24"/>
          <w:highlight w:val="none"/>
        </w:rPr>
        <w:t>，</w:t>
      </w:r>
      <w:r>
        <w:rPr>
          <w:rFonts w:cs="Times New Roman"/>
          <w:szCs w:val="28"/>
          <w:highlight w:val="none"/>
        </w:rPr>
        <w:t>坐拥世界首例文化与自然双遗产</w:t>
      </w:r>
      <w:r>
        <w:rPr>
          <w:rFonts w:hint="eastAsia" w:cs="Times New Roman"/>
          <w:szCs w:val="28"/>
          <w:highlight w:val="none"/>
        </w:rPr>
        <w:t>的</w:t>
      </w:r>
      <w:r>
        <w:rPr>
          <w:rFonts w:cs="Times New Roman"/>
          <w:szCs w:val="28"/>
          <w:highlight w:val="none"/>
        </w:rPr>
        <w:t>泰山风景名胜区，历史文化悠久、地理位置优越</w:t>
      </w:r>
      <w:r>
        <w:rPr>
          <w:rFonts w:hint="eastAsia" w:cs="Times New Roman"/>
          <w:szCs w:val="28"/>
          <w:highlight w:val="none"/>
        </w:rPr>
        <w:t>，是泰安市政治中心、经济中心、交通中心，是国家重点生态功能区。</w:t>
      </w:r>
    </w:p>
    <w:p>
      <w:pPr>
        <w:ind w:firstLine="560"/>
        <w:rPr>
          <w:rFonts w:cs="Times New Roman"/>
          <w:szCs w:val="28"/>
          <w:highlight w:val="none"/>
        </w:rPr>
      </w:pPr>
      <w:r>
        <w:rPr>
          <w:rFonts w:hint="eastAsia" w:cs="Times New Roman"/>
          <w:szCs w:val="28"/>
          <w:highlight w:val="none"/>
        </w:rPr>
        <w:t>泰山区曾获</w:t>
      </w:r>
      <w:r>
        <w:rPr>
          <w:rFonts w:cs="Times New Roman"/>
          <w:szCs w:val="28"/>
          <w:highlight w:val="none"/>
        </w:rPr>
        <w:t>国家文明城市</w:t>
      </w:r>
      <w:r>
        <w:rPr>
          <w:rFonts w:hint="eastAsia" w:cs="Times New Roman"/>
          <w:szCs w:val="28"/>
          <w:highlight w:val="none"/>
        </w:rPr>
        <w:t>、</w:t>
      </w:r>
      <w:r>
        <w:rPr>
          <w:rFonts w:cs="Times New Roman"/>
          <w:szCs w:val="28"/>
          <w:highlight w:val="none"/>
        </w:rPr>
        <w:t>国家卫生城市</w:t>
      </w:r>
      <w:r>
        <w:rPr>
          <w:rFonts w:hint="eastAsia" w:cs="Times New Roman"/>
          <w:szCs w:val="28"/>
          <w:highlight w:val="none"/>
        </w:rPr>
        <w:t>、全国文化先进区、全国投资潜力百强区、全国平安建设先进区、全国市辖区旅游综合实力百强区、全国民族团结进步示范区、</w:t>
      </w:r>
      <w:r>
        <w:rPr>
          <w:rFonts w:cs="Times New Roman"/>
          <w:szCs w:val="28"/>
          <w:highlight w:val="none"/>
        </w:rPr>
        <w:t>全国社区教育示范区</w:t>
      </w:r>
      <w:r>
        <w:rPr>
          <w:rFonts w:hint="eastAsia" w:cs="Times New Roman"/>
          <w:szCs w:val="28"/>
          <w:highlight w:val="none"/>
        </w:rPr>
        <w:t>、国家知识产权强县试点区、国家第十批标准化示范区、</w:t>
      </w:r>
      <w:r>
        <w:rPr>
          <w:rFonts w:cs="Times New Roman"/>
          <w:szCs w:val="28"/>
          <w:highlight w:val="none"/>
        </w:rPr>
        <w:t>全国县域节水型社会建设达标县</w:t>
      </w:r>
      <w:r>
        <w:rPr>
          <w:rFonts w:hint="eastAsia" w:cs="Times New Roman"/>
          <w:szCs w:val="28"/>
          <w:highlight w:val="none"/>
        </w:rPr>
        <w:t>、全国义务教育发展基本均衡区、纺织服装行业国家级外贸转型升级基地等</w:t>
      </w:r>
      <w:r>
        <w:rPr>
          <w:rFonts w:cs="Times New Roman"/>
          <w:szCs w:val="28"/>
          <w:highlight w:val="none"/>
        </w:rPr>
        <w:t>荣誉称号</w:t>
      </w:r>
      <w:r>
        <w:rPr>
          <w:rFonts w:hint="eastAsia" w:cs="Times New Roman"/>
          <w:szCs w:val="28"/>
          <w:highlight w:val="none"/>
        </w:rPr>
        <w:t>，其中，“</w:t>
      </w:r>
      <w:r>
        <w:rPr>
          <w:rFonts w:cs="Times New Roman"/>
          <w:szCs w:val="28"/>
          <w:highlight w:val="none"/>
        </w:rPr>
        <w:t>全国科普示范区</w:t>
      </w:r>
      <w:r>
        <w:rPr>
          <w:rFonts w:hint="eastAsia" w:cs="Times New Roman"/>
          <w:szCs w:val="28"/>
          <w:highlight w:val="none"/>
        </w:rPr>
        <w:t>”称号</w:t>
      </w:r>
      <w:r>
        <w:rPr>
          <w:rFonts w:cs="Times New Roman"/>
          <w:szCs w:val="28"/>
          <w:highlight w:val="none"/>
        </w:rPr>
        <w:t>连续10年保持</w:t>
      </w:r>
      <w:r>
        <w:rPr>
          <w:rFonts w:hint="eastAsia" w:cs="Times New Roman"/>
          <w:szCs w:val="28"/>
          <w:highlight w:val="none"/>
        </w:rPr>
        <w:t>。荣登“中国最具安全感百佳县市”榜首。</w:t>
      </w:r>
    </w:p>
    <w:p>
      <w:pPr>
        <w:pStyle w:val="3"/>
        <w:rPr>
          <w:b/>
          <w:bCs w:val="0"/>
          <w:highlight w:val="none"/>
        </w:rPr>
      </w:pPr>
      <w:bookmarkStart w:id="73" w:name="_Toc16036"/>
      <w:bookmarkStart w:id="74" w:name="_Toc3108"/>
      <w:r>
        <w:rPr>
          <w:rFonts w:hint="eastAsia"/>
          <w:b/>
          <w:bCs w:val="0"/>
          <w:highlight w:val="none"/>
        </w:rPr>
        <w:t>建设基础</w:t>
      </w:r>
      <w:bookmarkEnd w:id="70"/>
      <w:bookmarkEnd w:id="71"/>
      <w:bookmarkEnd w:id="72"/>
      <w:bookmarkEnd w:id="73"/>
      <w:bookmarkEnd w:id="74"/>
    </w:p>
    <w:p>
      <w:pPr>
        <w:pStyle w:val="4"/>
        <w:spacing w:before="156"/>
        <w:ind w:left="480" w:hanging="49"/>
        <w:rPr>
          <w:highlight w:val="none"/>
        </w:rPr>
      </w:pPr>
      <w:bookmarkStart w:id="75" w:name="_Toc72763626"/>
      <w:r>
        <w:rPr>
          <w:rFonts w:hint="eastAsia"/>
          <w:highlight w:val="none"/>
        </w:rPr>
        <w:t>建立</w:t>
      </w:r>
      <w:r>
        <w:rPr>
          <w:highlight w:val="none"/>
        </w:rPr>
        <w:t>健全生态文明建设制度</w:t>
      </w:r>
    </w:p>
    <w:p>
      <w:pPr>
        <w:ind w:firstLine="560"/>
        <w:rPr>
          <w:rFonts w:cs="Times New Roman"/>
          <w:szCs w:val="28"/>
          <w:highlight w:val="none"/>
        </w:rPr>
      </w:pPr>
      <w:r>
        <w:rPr>
          <w:rFonts w:hint="eastAsia" w:cs="Times New Roman"/>
          <w:szCs w:val="28"/>
          <w:highlight w:val="none"/>
        </w:rPr>
        <w:t>泰山区</w:t>
      </w:r>
      <w:r>
        <w:rPr>
          <w:rFonts w:hint="eastAsia"/>
          <w:bCs/>
          <w:szCs w:val="30"/>
          <w:highlight w:val="none"/>
          <w:lang w:bidi="en-US"/>
        </w:rPr>
        <w:t>深入贯彻落实习近平生态文明思想，全面落实国家、山东</w:t>
      </w:r>
      <w:r>
        <w:rPr>
          <w:rFonts w:hint="eastAsia" w:cs="Times New Roman"/>
          <w:szCs w:val="28"/>
          <w:highlight w:val="none"/>
        </w:rPr>
        <w:t>省有关决策部署，</w:t>
      </w:r>
      <w:r>
        <w:rPr>
          <w:rFonts w:cs="Times New Roman"/>
          <w:szCs w:val="28"/>
          <w:highlight w:val="none"/>
        </w:rPr>
        <w:t>高度重视生态文明建设工作，生态文明绩效评价考核</w:t>
      </w:r>
      <w:r>
        <w:rPr>
          <w:rFonts w:hint="eastAsia"/>
          <w:szCs w:val="28"/>
          <w:highlight w:val="none"/>
        </w:rPr>
        <w:t>基本建立，将生态文明建设成效纳入年度考核范围，作为综合评价的重要参考，并逐年</w:t>
      </w:r>
      <w:r>
        <w:rPr>
          <w:szCs w:val="28"/>
          <w:highlight w:val="none"/>
        </w:rPr>
        <w:t>加大生态文明建设在高质量发展考核中的比例。2022年，生态文明建设工作占党政实绩考核比例达到31.67%。</w:t>
      </w:r>
      <w:r>
        <w:rPr>
          <w:rFonts w:hint="eastAsia"/>
          <w:szCs w:val="28"/>
          <w:highlight w:val="none"/>
        </w:rPr>
        <w:t>生态环境和自然资源管理体制改革、生态补偿财政转移支付制度持续推进。</w:t>
      </w:r>
      <w:r>
        <w:rPr>
          <w:rFonts w:cs="Times New Roman"/>
          <w:szCs w:val="28"/>
          <w:highlight w:val="none"/>
        </w:rPr>
        <w:t>全面落实河长制、</w:t>
      </w:r>
      <w:r>
        <w:rPr>
          <w:rFonts w:hint="eastAsia" w:cs="Times New Roman"/>
          <w:szCs w:val="28"/>
          <w:highlight w:val="none"/>
        </w:rPr>
        <w:t>湖长制</w:t>
      </w:r>
      <w:r>
        <w:rPr>
          <w:rFonts w:cs="Times New Roman"/>
          <w:szCs w:val="28"/>
          <w:highlight w:val="none"/>
        </w:rPr>
        <w:t>、林长制</w:t>
      </w:r>
      <w:r>
        <w:rPr>
          <w:rFonts w:hint="eastAsia" w:cs="Times New Roman"/>
          <w:szCs w:val="28"/>
          <w:highlight w:val="none"/>
        </w:rPr>
        <w:t>、田长制。</w:t>
      </w:r>
    </w:p>
    <w:p>
      <w:pPr>
        <w:ind w:firstLine="560"/>
        <w:rPr>
          <w:szCs w:val="28"/>
          <w:highlight w:val="none"/>
        </w:rPr>
      </w:pPr>
      <w:r>
        <w:rPr>
          <w:rFonts w:hint="eastAsia"/>
          <w:szCs w:val="28"/>
          <w:highlight w:val="none"/>
        </w:rPr>
        <w:t>责任追究制度基本落实，严格执行《党政领导干部生态环境损害责任追究办法（试行）》等制度以及上级相关工作部署，印发《泰山区各级各部门环境保护工作职责（试行）》，明确并切实强化各级环境保护责任。生态环境监管体系不断完善，依托社会管理服务一体化平台，将生态环境保护与社会治理创新有机结合，率先推行网络化环境监管体系模式，将环境监管触角延伸至最基层。省级双拥模范城实现六连冠。</w:t>
      </w:r>
    </w:p>
    <w:p>
      <w:pPr>
        <w:pStyle w:val="4"/>
        <w:spacing w:before="156"/>
        <w:ind w:left="480" w:hanging="49"/>
        <w:rPr>
          <w:highlight w:val="none"/>
        </w:rPr>
      </w:pPr>
      <w:r>
        <w:rPr>
          <w:highlight w:val="none"/>
        </w:rPr>
        <w:t>不断加强</w:t>
      </w:r>
      <w:r>
        <w:rPr>
          <w:rFonts w:hint="eastAsia"/>
          <w:highlight w:val="none"/>
        </w:rPr>
        <w:t>环境</w:t>
      </w:r>
      <w:r>
        <w:rPr>
          <w:highlight w:val="none"/>
        </w:rPr>
        <w:t>保护治理力度</w:t>
      </w:r>
      <w:r>
        <w:rPr>
          <w:rFonts w:hint="eastAsia"/>
          <w:highlight w:val="none"/>
        </w:rPr>
        <w:tab/>
      </w:r>
    </w:p>
    <w:p>
      <w:pPr>
        <w:ind w:firstLine="560"/>
        <w:rPr>
          <w:rFonts w:cs="Times New Roman"/>
          <w:szCs w:val="28"/>
          <w:highlight w:val="none"/>
        </w:rPr>
      </w:pPr>
      <w:r>
        <w:rPr>
          <w:rFonts w:hint="eastAsia"/>
          <w:bCs/>
          <w:szCs w:val="30"/>
          <w:highlight w:val="none"/>
          <w:lang w:bidi="en-US"/>
        </w:rPr>
        <w:t>泰山区以勇做新时代“泰山挑山工”的奋斗姿态，坚决打赢打好蓝天、碧水和净土保卫战，生态建设成效显著。</w:t>
      </w:r>
      <w:r>
        <w:rPr>
          <w:rFonts w:cs="Times New Roman"/>
          <w:szCs w:val="28"/>
          <w:highlight w:val="none"/>
        </w:rPr>
        <w:t>紧紧围绕</w:t>
      </w:r>
      <w:r>
        <w:rPr>
          <w:rFonts w:hint="eastAsia" w:cs="Times New Roman"/>
          <w:szCs w:val="28"/>
          <w:highlight w:val="none"/>
        </w:rPr>
        <w:t>“</w:t>
      </w:r>
      <w:r>
        <w:rPr>
          <w:rFonts w:cs="Times New Roman"/>
          <w:szCs w:val="28"/>
          <w:highlight w:val="none"/>
        </w:rPr>
        <w:t>13755</w:t>
      </w:r>
      <w:r>
        <w:rPr>
          <w:rFonts w:hint="eastAsia" w:cs="Times New Roman"/>
          <w:szCs w:val="28"/>
          <w:highlight w:val="none"/>
        </w:rPr>
        <w:t>”</w:t>
      </w:r>
      <w:r>
        <w:rPr>
          <w:rFonts w:cs="Times New Roman"/>
          <w:szCs w:val="28"/>
          <w:highlight w:val="none"/>
        </w:rPr>
        <w:t>工作思路，</w:t>
      </w:r>
      <w:r>
        <w:rPr>
          <w:rFonts w:hint="eastAsia" w:cs="Times New Roman"/>
          <w:szCs w:val="28"/>
          <w:highlight w:val="none"/>
        </w:rPr>
        <w:t>全面实施“16345”水质提升、“44825”大气攻坚、“124X”黄河流域生态保护和高质量发展等重点工作，深入打好污染防治攻坚战。打造形成市、区、街道（镇）、社区（村）、网格纵向贯通，部门单位间横向协同环境治理一张网。</w:t>
      </w:r>
    </w:p>
    <w:p>
      <w:pPr>
        <w:ind w:firstLine="560"/>
        <w:rPr>
          <w:rFonts w:cs="Times New Roman"/>
          <w:szCs w:val="28"/>
          <w:highlight w:val="none"/>
        </w:rPr>
      </w:pPr>
      <w:r>
        <w:rPr>
          <w:rFonts w:hint="eastAsia" w:cs="Times New Roman"/>
          <w:szCs w:val="28"/>
          <w:highlight w:val="none"/>
        </w:rPr>
        <w:t>着力打好碧水保卫战，河道排污口、黑臭水体、低洼易涝地区有效治理，梳洗河、双龙河、唐庄河水质显著提升。</w:t>
      </w:r>
      <w:r>
        <w:rPr>
          <w:rFonts w:cs="Times New Roman"/>
          <w:szCs w:val="28"/>
          <w:highlight w:val="none"/>
        </w:rPr>
        <w:t>2022年，明堂河</w:t>
      </w:r>
      <w:r>
        <w:rPr>
          <w:rFonts w:hint="eastAsia" w:cs="Times New Roman"/>
          <w:szCs w:val="28"/>
          <w:highlight w:val="none"/>
        </w:rPr>
        <w:t>省控断面</w:t>
      </w:r>
      <w:r>
        <w:rPr>
          <w:rFonts w:cs="Times New Roman"/>
          <w:szCs w:val="28"/>
          <w:highlight w:val="none"/>
        </w:rPr>
        <w:t>水质达到地表水三类标准，</w:t>
      </w:r>
      <w:r>
        <w:rPr>
          <w:rFonts w:hint="eastAsia" w:cs="Times New Roman"/>
          <w:szCs w:val="28"/>
          <w:highlight w:val="none"/>
        </w:rPr>
        <w:t>市控断面</w:t>
      </w:r>
      <w:r>
        <w:rPr>
          <w:rFonts w:cs="Times New Roman"/>
          <w:szCs w:val="28"/>
          <w:highlight w:val="none"/>
        </w:rPr>
        <w:t>芝田河邱家店镇南外环桥、梳洗河赵庄桥水质均达标，获得全省生态环境领域真抓实干成效明显督查激励奖励</w:t>
      </w:r>
      <w:r>
        <w:rPr>
          <w:rFonts w:hint="eastAsia" w:cs="Times New Roman"/>
          <w:szCs w:val="28"/>
          <w:highlight w:val="none"/>
        </w:rPr>
        <w:t>。完成87个村污水治理任务，完成率全市第一。</w:t>
      </w:r>
    </w:p>
    <w:p>
      <w:pPr>
        <w:ind w:firstLine="560"/>
        <w:rPr>
          <w:rFonts w:cs="Times New Roman"/>
          <w:szCs w:val="28"/>
          <w:highlight w:val="none"/>
        </w:rPr>
      </w:pPr>
      <w:r>
        <w:rPr>
          <w:rFonts w:hint="eastAsia" w:cs="Times New Roman"/>
          <w:szCs w:val="28"/>
          <w:highlight w:val="none"/>
        </w:rPr>
        <w:t>强力实施蓝天保卫战，SO</w:t>
      </w:r>
      <w:r>
        <w:rPr>
          <w:rFonts w:hint="eastAsia" w:cs="Times New Roman"/>
          <w:szCs w:val="28"/>
          <w:highlight w:val="none"/>
          <w:vertAlign w:val="subscript"/>
        </w:rPr>
        <w:t>2</w:t>
      </w:r>
      <w:r>
        <w:rPr>
          <w:rFonts w:hint="eastAsia" w:cs="Times New Roman"/>
          <w:szCs w:val="28"/>
          <w:highlight w:val="none"/>
        </w:rPr>
        <w:t>、NO</w:t>
      </w:r>
      <w:r>
        <w:rPr>
          <w:rFonts w:hint="eastAsia" w:cs="Times New Roman"/>
          <w:szCs w:val="28"/>
          <w:highlight w:val="none"/>
          <w:vertAlign w:val="subscript"/>
        </w:rPr>
        <w:t>2</w:t>
      </w:r>
      <w:r>
        <w:rPr>
          <w:rFonts w:hint="eastAsia" w:cs="Times New Roman"/>
          <w:szCs w:val="28"/>
          <w:highlight w:val="none"/>
        </w:rPr>
        <w:t>、PM</w:t>
      </w:r>
      <w:r>
        <w:rPr>
          <w:rFonts w:hint="eastAsia" w:cs="Times New Roman"/>
          <w:szCs w:val="28"/>
          <w:highlight w:val="none"/>
          <w:vertAlign w:val="subscript"/>
        </w:rPr>
        <w:t>10</w:t>
      </w:r>
      <w:r>
        <w:rPr>
          <w:rFonts w:hint="eastAsia" w:cs="Times New Roman"/>
          <w:szCs w:val="28"/>
          <w:highlight w:val="none"/>
        </w:rPr>
        <w:t>、PM</w:t>
      </w:r>
      <w:r>
        <w:rPr>
          <w:rFonts w:hint="eastAsia" w:cs="Times New Roman"/>
          <w:szCs w:val="28"/>
          <w:highlight w:val="none"/>
          <w:vertAlign w:val="subscript"/>
        </w:rPr>
        <w:t>2.5</w:t>
      </w:r>
      <w:r>
        <w:rPr>
          <w:rFonts w:hint="eastAsia" w:cs="Times New Roman"/>
          <w:szCs w:val="28"/>
          <w:highlight w:val="none"/>
        </w:rPr>
        <w:t>四项空气质量指标逐年改善，优良天数比例由52.42%上升至70.14%，重度及以上污染天数明显减少，空气质量明显改善。持续</w:t>
      </w:r>
      <w:r>
        <w:rPr>
          <w:rFonts w:hint="eastAsia"/>
          <w:szCs w:val="28"/>
          <w:highlight w:val="none"/>
        </w:rPr>
        <w:t>加大生态修复治理保护力度，</w:t>
      </w:r>
      <w:r>
        <w:rPr>
          <w:rFonts w:cs="Times New Roman"/>
          <w:szCs w:val="28"/>
          <w:highlight w:val="none"/>
        </w:rPr>
        <w:t>生态质量指数（EQI）52.07，林草覆盖率4</w:t>
      </w:r>
      <w:r>
        <w:rPr>
          <w:rFonts w:hint="eastAsia" w:cs="Times New Roman"/>
          <w:szCs w:val="28"/>
          <w:highlight w:val="none"/>
        </w:rPr>
        <w:t>3.80</w:t>
      </w:r>
      <w:r>
        <w:rPr>
          <w:rFonts w:cs="Times New Roman"/>
          <w:szCs w:val="28"/>
          <w:highlight w:val="none"/>
        </w:rPr>
        <w:t>%</w:t>
      </w:r>
      <w:r>
        <w:rPr>
          <w:rFonts w:hint="eastAsia" w:cs="Times New Roman"/>
          <w:szCs w:val="28"/>
          <w:highlight w:val="none"/>
        </w:rPr>
        <w:t>，</w:t>
      </w:r>
      <w:r>
        <w:rPr>
          <w:rFonts w:hint="eastAsia"/>
          <w:szCs w:val="28"/>
          <w:highlight w:val="none"/>
        </w:rPr>
        <w:t>启动芝田河、泮河等山水林田湖草生态保护修复工程</w:t>
      </w:r>
      <w:r>
        <w:rPr>
          <w:rFonts w:cs="Times New Roman"/>
          <w:szCs w:val="28"/>
          <w:highlight w:val="none"/>
        </w:rPr>
        <w:t>。</w:t>
      </w:r>
    </w:p>
    <w:p>
      <w:pPr>
        <w:ind w:firstLine="560"/>
        <w:rPr>
          <w:rFonts w:cs="Times New Roman"/>
          <w:szCs w:val="28"/>
          <w:highlight w:val="none"/>
        </w:rPr>
      </w:pPr>
      <w:r>
        <w:rPr>
          <w:rFonts w:cs="Times New Roman"/>
          <w:szCs w:val="28"/>
          <w:highlight w:val="none"/>
        </w:rPr>
        <w:t>深入开展生态环境安全隐患排查治理，</w:t>
      </w:r>
      <w:r>
        <w:rPr>
          <w:rFonts w:cs="Times New Roman"/>
          <w:kern w:val="0"/>
          <w:szCs w:val="28"/>
          <w:highlight w:val="none"/>
          <w:lang w:bidi="ar"/>
        </w:rPr>
        <w:t>印发</w:t>
      </w:r>
      <w:r>
        <w:rPr>
          <w:rFonts w:hint="eastAsia" w:cs="Times New Roman"/>
          <w:szCs w:val="28"/>
          <w:highlight w:val="none"/>
        </w:rPr>
        <w:t>“</w:t>
      </w:r>
      <w:r>
        <w:rPr>
          <w:rFonts w:cs="Times New Roman"/>
          <w:szCs w:val="28"/>
          <w:highlight w:val="none"/>
        </w:rPr>
        <w:t>无废城市</w:t>
      </w:r>
      <w:r>
        <w:rPr>
          <w:rFonts w:hint="eastAsia" w:cs="Times New Roman"/>
          <w:szCs w:val="28"/>
          <w:highlight w:val="none"/>
        </w:rPr>
        <w:t>”</w:t>
      </w:r>
      <w:r>
        <w:rPr>
          <w:rFonts w:cs="Times New Roman"/>
          <w:szCs w:val="28"/>
          <w:highlight w:val="none"/>
        </w:rPr>
        <w:t>建设方案，组织开展危险废物拉网式起底式排查整治</w:t>
      </w:r>
      <w:r>
        <w:rPr>
          <w:rFonts w:hint="eastAsia" w:cs="Times New Roman"/>
          <w:szCs w:val="28"/>
          <w:highlight w:val="none"/>
        </w:rPr>
        <w:t>“</w:t>
      </w:r>
      <w:r>
        <w:rPr>
          <w:rFonts w:cs="Times New Roman"/>
          <w:szCs w:val="28"/>
          <w:highlight w:val="none"/>
        </w:rPr>
        <w:t>百日攻坚</w:t>
      </w:r>
      <w:r>
        <w:rPr>
          <w:rFonts w:hint="eastAsia" w:cs="Times New Roman"/>
          <w:szCs w:val="28"/>
          <w:highlight w:val="none"/>
        </w:rPr>
        <w:t>”</w:t>
      </w:r>
      <w:r>
        <w:rPr>
          <w:rFonts w:cs="Times New Roman"/>
          <w:szCs w:val="28"/>
          <w:highlight w:val="none"/>
        </w:rPr>
        <w:t>专项行动、黄河流域</w:t>
      </w:r>
      <w:r>
        <w:rPr>
          <w:rFonts w:hint="eastAsia" w:cs="Times New Roman"/>
          <w:szCs w:val="28"/>
          <w:highlight w:val="none"/>
        </w:rPr>
        <w:t>“</w:t>
      </w:r>
      <w:r>
        <w:rPr>
          <w:rFonts w:cs="Times New Roman"/>
          <w:szCs w:val="28"/>
          <w:highlight w:val="none"/>
        </w:rPr>
        <w:t>清废行动</w:t>
      </w:r>
      <w:r>
        <w:rPr>
          <w:rFonts w:hint="eastAsia" w:cs="Times New Roman"/>
          <w:szCs w:val="28"/>
          <w:highlight w:val="none"/>
        </w:rPr>
        <w:t>”</w:t>
      </w:r>
      <w:r>
        <w:rPr>
          <w:rFonts w:cs="Times New Roman"/>
          <w:szCs w:val="28"/>
          <w:highlight w:val="none"/>
        </w:rPr>
        <w:t>，</w:t>
      </w:r>
      <w:r>
        <w:rPr>
          <w:rFonts w:hint="eastAsia" w:cs="Times New Roman"/>
          <w:szCs w:val="28"/>
          <w:highlight w:val="none"/>
        </w:rPr>
        <w:t>危险废物</w:t>
      </w:r>
      <w:r>
        <w:rPr>
          <w:rFonts w:cs="Times New Roman"/>
          <w:szCs w:val="28"/>
          <w:highlight w:val="none"/>
        </w:rPr>
        <w:t>利用处置率100%。积极推进污染地块调查</w:t>
      </w:r>
      <w:r>
        <w:rPr>
          <w:rFonts w:hint="eastAsia" w:cs="Times New Roman"/>
          <w:szCs w:val="28"/>
          <w:highlight w:val="none"/>
        </w:rPr>
        <w:t>，</w:t>
      </w:r>
      <w:r>
        <w:rPr>
          <w:rFonts w:cs="Times New Roman"/>
          <w:szCs w:val="28"/>
          <w:highlight w:val="none"/>
        </w:rPr>
        <w:t>建立土壤污染防治管理联动机制，实现信息共享，土壤环境安全形势总体稳定，建设用地安全利用率持续保持100%。</w:t>
      </w:r>
    </w:p>
    <w:p>
      <w:pPr>
        <w:pStyle w:val="4"/>
        <w:spacing w:before="156"/>
        <w:ind w:left="480" w:hanging="49"/>
        <w:rPr>
          <w:highlight w:val="none"/>
        </w:rPr>
      </w:pPr>
      <w:r>
        <w:rPr>
          <w:rFonts w:hint="eastAsia"/>
          <w:highlight w:val="none"/>
        </w:rPr>
        <w:t>持续合理优化生态空间布局</w:t>
      </w:r>
    </w:p>
    <w:p>
      <w:pPr>
        <w:ind w:firstLine="560"/>
        <w:rPr>
          <w:rFonts w:cs="Times New Roman"/>
          <w:szCs w:val="28"/>
          <w:highlight w:val="none"/>
        </w:rPr>
      </w:pPr>
      <w:r>
        <w:rPr>
          <w:rFonts w:cs="Times New Roman"/>
          <w:szCs w:val="28"/>
          <w:highlight w:val="none"/>
        </w:rPr>
        <w:t>强化生态保护红线刚性约束，划定生态红线占国土面积比例18.6</w:t>
      </w:r>
      <w:r>
        <w:rPr>
          <w:rFonts w:hint="eastAsia" w:cs="Times New Roman"/>
          <w:szCs w:val="28"/>
          <w:highlight w:val="none"/>
        </w:rPr>
        <w:t>9</w:t>
      </w:r>
      <w:r>
        <w:rPr>
          <w:rFonts w:cs="Times New Roman"/>
          <w:szCs w:val="28"/>
          <w:highlight w:val="none"/>
        </w:rPr>
        <w:t>%，</w:t>
      </w:r>
      <w:r>
        <w:rPr>
          <w:rFonts w:hint="eastAsia"/>
          <w:szCs w:val="28"/>
          <w:highlight w:val="none"/>
        </w:rPr>
        <w:t>生态保护红线分区主要分布在泰山区北部泰山区域，主导生态系统系统服务功能为水土保持，</w:t>
      </w:r>
      <w:r>
        <w:rPr>
          <w:rFonts w:cs="Times New Roman"/>
          <w:szCs w:val="28"/>
          <w:highlight w:val="none"/>
        </w:rPr>
        <w:t>确保生态功能不降低、面积不减少、性质不改变。</w:t>
      </w:r>
    </w:p>
    <w:p>
      <w:pPr>
        <w:ind w:firstLine="560"/>
        <w:rPr>
          <w:rFonts w:cs="Times New Roman"/>
          <w:szCs w:val="28"/>
          <w:highlight w:val="none"/>
        </w:rPr>
      </w:pPr>
      <w:r>
        <w:rPr>
          <w:rFonts w:cs="Times New Roman"/>
          <w:szCs w:val="28"/>
          <w:highlight w:val="none"/>
        </w:rPr>
        <w:t>强化</w:t>
      </w:r>
      <w:r>
        <w:rPr>
          <w:rFonts w:hint="eastAsia" w:cs="Times New Roman"/>
          <w:szCs w:val="28"/>
          <w:highlight w:val="none"/>
        </w:rPr>
        <w:t>河湖</w:t>
      </w:r>
      <w:r>
        <w:rPr>
          <w:rFonts w:cs="Times New Roman"/>
          <w:szCs w:val="28"/>
          <w:highlight w:val="none"/>
        </w:rPr>
        <w:t>岸线</w:t>
      </w:r>
      <w:r>
        <w:rPr>
          <w:rFonts w:hint="eastAsia" w:cs="Times New Roman"/>
          <w:szCs w:val="28"/>
          <w:highlight w:val="none"/>
        </w:rPr>
        <w:t>保护利用与</w:t>
      </w:r>
      <w:r>
        <w:rPr>
          <w:rFonts w:cs="Times New Roman"/>
          <w:szCs w:val="28"/>
          <w:highlight w:val="none"/>
        </w:rPr>
        <w:t>修复</w:t>
      </w:r>
      <w:r>
        <w:rPr>
          <w:rFonts w:hint="eastAsia" w:cs="Times New Roman"/>
          <w:szCs w:val="28"/>
          <w:highlight w:val="none"/>
        </w:rPr>
        <w:t>，</w:t>
      </w:r>
      <w:r>
        <w:rPr>
          <w:rFonts w:cs="Times New Roman"/>
          <w:szCs w:val="28"/>
          <w:highlight w:val="none"/>
        </w:rPr>
        <w:t>持续开展自然生态综合治理，加大河道整治力度，建设拦水坝、水闸、生态缓坡等设施，增加河道渗漏调蓄能力。编制完成并组织实施流域面积50平方公里以上的河湖岸线利用管理规划，编制完成50平方公里以下的7条河流岸线利用管理规划。</w:t>
      </w:r>
    </w:p>
    <w:p>
      <w:pPr>
        <w:ind w:firstLine="560"/>
        <w:rPr>
          <w:szCs w:val="28"/>
          <w:highlight w:val="none"/>
        </w:rPr>
      </w:pPr>
      <w:r>
        <w:rPr>
          <w:rFonts w:cs="Times New Roman"/>
          <w:szCs w:val="28"/>
          <w:highlight w:val="none"/>
        </w:rPr>
        <w:t>支撑划定</w:t>
      </w:r>
      <w:r>
        <w:rPr>
          <w:rFonts w:hint="eastAsia" w:cs="Times New Roman"/>
          <w:szCs w:val="28"/>
          <w:highlight w:val="none"/>
        </w:rPr>
        <w:t>并严格落实“</w:t>
      </w:r>
      <w:r>
        <w:rPr>
          <w:rFonts w:cs="Times New Roman"/>
          <w:szCs w:val="28"/>
          <w:highlight w:val="none"/>
        </w:rPr>
        <w:t>三线一单</w:t>
      </w:r>
      <w:r>
        <w:rPr>
          <w:rFonts w:hint="eastAsia" w:cs="Times New Roman"/>
          <w:szCs w:val="28"/>
          <w:highlight w:val="none"/>
        </w:rPr>
        <w:t>”</w:t>
      </w:r>
      <w:r>
        <w:rPr>
          <w:rFonts w:cs="Times New Roman"/>
          <w:szCs w:val="28"/>
          <w:highlight w:val="none"/>
        </w:rPr>
        <w:t>生态环境分区管控体系，泰山区按街道镇、园区划分，涉及管控单元8个，除泰前街道为优先管控单元外，其余街道镇和泰山经济开发区全部为重点管控单元。</w:t>
      </w:r>
      <w:r>
        <w:rPr>
          <w:rFonts w:hint="eastAsia"/>
          <w:szCs w:val="28"/>
          <w:highlight w:val="none"/>
        </w:rPr>
        <w:t>扎实开展永久基本农田划定工作，划定永久基本农田红线，强化国土开发管控。开展泰山区土地利用总体规划调整完善工作，确保区域耕地数量稳定、质量不下降，提高土地利用节约集约水平。</w:t>
      </w:r>
    </w:p>
    <w:p>
      <w:pPr>
        <w:pStyle w:val="4"/>
        <w:spacing w:before="156"/>
        <w:ind w:left="480" w:hanging="49"/>
        <w:rPr>
          <w:highlight w:val="none"/>
        </w:rPr>
      </w:pPr>
      <w:r>
        <w:rPr>
          <w:highlight w:val="none"/>
        </w:rPr>
        <w:t>稳步提升生态经济综合实力</w:t>
      </w:r>
    </w:p>
    <w:p>
      <w:pPr>
        <w:ind w:firstLine="560"/>
        <w:rPr>
          <w:highlight w:val="none"/>
        </w:rPr>
      </w:pPr>
      <w:r>
        <w:rPr>
          <w:rFonts w:hint="eastAsia"/>
          <w:highlight w:val="none"/>
        </w:rPr>
        <w:t>经济综合实力稳步提升。2022年全区生产总值为519.46亿元，全市排名第三，按可比价格计算，同比增长3.6%。三次产业比重由2020年的1.8：27.2：71调整为2022年1.7：25.4：72.9。</w:t>
      </w:r>
    </w:p>
    <w:p>
      <w:pPr>
        <w:ind w:firstLine="560"/>
        <w:rPr>
          <w:highlight w:val="none"/>
        </w:rPr>
      </w:pPr>
      <w:r>
        <w:rPr>
          <w:rFonts w:hint="eastAsia"/>
          <w:highlight w:val="none"/>
        </w:rPr>
        <w:t>产业发展质效更优。坚定不移推进招商引资和项目建设。“服务业强区”建设快速推进，成功入选全国旅游综合实力百强区、全省现代服务业集聚示范区、省级服务业综合改革试点区、全省重点服务业城区、全省全域旅游示范区。“工业兴区”建设快速推进，全力打好工业攻坚战。成功创建国内印染领域唯一、省内首家国家先进印染技术创新中心。大力实施乡村振兴战略，“农业特区”建设快速推进，培优做强泰山茶、苗木花卉、生态奶业、有机蔬菜四大特色产业，成功创建国家现代农业产业园、国家农业科技园区。</w:t>
      </w:r>
    </w:p>
    <w:p>
      <w:pPr>
        <w:ind w:firstLine="560"/>
        <w:rPr>
          <w:highlight w:val="none"/>
        </w:rPr>
      </w:pPr>
      <w:r>
        <w:rPr>
          <w:rFonts w:hint="eastAsia"/>
          <w:highlight w:val="none"/>
        </w:rPr>
        <w:t>邱家店镇被列入全省乡村振兴“十百千”工程示范创建单位。圆满完成脱贫攻坚任务。</w:t>
      </w:r>
      <w:r>
        <w:rPr>
          <w:highlight w:val="none"/>
        </w:rPr>
        <w:t>2022年</w:t>
      </w:r>
      <w:r>
        <w:rPr>
          <w:rFonts w:hint="eastAsia"/>
          <w:highlight w:val="none"/>
        </w:rPr>
        <w:t>，</w:t>
      </w:r>
      <w:r>
        <w:rPr>
          <w:highlight w:val="none"/>
        </w:rPr>
        <w:t>单位地区生产总值用水量为19.38立方米/万元</w:t>
      </w:r>
      <w:r>
        <w:rPr>
          <w:rFonts w:hint="eastAsia"/>
          <w:highlight w:val="none"/>
        </w:rPr>
        <w:t>、</w:t>
      </w:r>
      <w:r>
        <w:rPr>
          <w:highlight w:val="none"/>
        </w:rPr>
        <w:t>单位国内生产总值建设用地使用面积下降率3.45%。秸秆综合利用率、畜禽粪污综合利用率、农膜回收率分别为93.66%、95.56%、100%，一般工业固体废物综合利用率93.25%。</w:t>
      </w:r>
    </w:p>
    <w:p>
      <w:pPr>
        <w:pStyle w:val="4"/>
        <w:spacing w:before="156"/>
        <w:rPr>
          <w:highlight w:val="none"/>
        </w:rPr>
      </w:pPr>
      <w:r>
        <w:rPr>
          <w:rFonts w:hint="eastAsia"/>
          <w:highlight w:val="none"/>
        </w:rPr>
        <w:t>逐步形成</w:t>
      </w:r>
      <w:r>
        <w:rPr>
          <w:highlight w:val="none"/>
        </w:rPr>
        <w:t>绿色</w:t>
      </w:r>
      <w:r>
        <w:rPr>
          <w:rFonts w:hint="eastAsia"/>
          <w:highlight w:val="none"/>
        </w:rPr>
        <w:t>低碳</w:t>
      </w:r>
      <w:r>
        <w:rPr>
          <w:highlight w:val="none"/>
        </w:rPr>
        <w:t>生活方式</w:t>
      </w:r>
    </w:p>
    <w:p>
      <w:pPr>
        <w:ind w:firstLine="560"/>
        <w:rPr>
          <w:highlight w:val="none"/>
        </w:rPr>
      </w:pPr>
      <w:r>
        <w:rPr>
          <w:highlight w:val="none"/>
        </w:rPr>
        <w:t>积极推进人居环境改善。集中式饮用水水源地水质优良比例、村镇饮用水卫生合格率</w:t>
      </w:r>
      <w:r>
        <w:rPr>
          <w:rFonts w:hint="eastAsia"/>
          <w:highlight w:val="none"/>
        </w:rPr>
        <w:t>、</w:t>
      </w:r>
      <w:r>
        <w:rPr>
          <w:highlight w:val="none"/>
        </w:rPr>
        <w:t>城镇污水处理率、城镇生活垃圾无害率均达到100%。</w:t>
      </w:r>
      <w:r>
        <w:rPr>
          <w:rFonts w:hint="eastAsia"/>
          <w:highlight w:val="none"/>
        </w:rPr>
        <w:t>农村人居环境整治三年行动圆满收官</w:t>
      </w:r>
      <w:r>
        <w:rPr>
          <w:highlight w:val="none"/>
        </w:rPr>
        <w:t>，实施镇区生活污水治理项目，将84个村纳入治理范围</w:t>
      </w:r>
      <w:r>
        <w:rPr>
          <w:rFonts w:hint="eastAsia"/>
          <w:highlight w:val="none"/>
        </w:rPr>
        <w:t>，</w:t>
      </w:r>
      <w:r>
        <w:rPr>
          <w:highlight w:val="none"/>
        </w:rPr>
        <w:t>农村生活污水治理率达8</w:t>
      </w:r>
      <w:r>
        <w:rPr>
          <w:rFonts w:hint="eastAsia"/>
          <w:highlight w:val="none"/>
        </w:rPr>
        <w:t>8.78</w:t>
      </w:r>
      <w:r>
        <w:rPr>
          <w:highlight w:val="none"/>
        </w:rPr>
        <w:t>%</w:t>
      </w:r>
      <w:r>
        <w:rPr>
          <w:rFonts w:hint="eastAsia"/>
          <w:highlight w:val="none"/>
        </w:rPr>
        <w:t>。农村改厕顺利通过住建部验收，</w:t>
      </w:r>
      <w:r>
        <w:rPr>
          <w:highlight w:val="none"/>
        </w:rPr>
        <w:t>农村无害化卫生厕所实现全覆盖。城镇新建绿色建筑比例达到100%。建立完善生活垃圾分类减量化体系、集中收集储运体系，推动生活废弃物综合利用工作有效开展。</w:t>
      </w:r>
      <w:r>
        <w:rPr>
          <w:rFonts w:hint="eastAsia"/>
          <w:highlight w:val="none"/>
        </w:rPr>
        <w:t>政府</w:t>
      </w:r>
      <w:r>
        <w:rPr>
          <w:highlight w:val="none"/>
        </w:rPr>
        <w:t>绿色采购比例达99.46%。</w:t>
      </w:r>
    </w:p>
    <w:p>
      <w:pPr>
        <w:ind w:firstLine="560"/>
        <w:rPr>
          <w:highlight w:val="none"/>
        </w:rPr>
      </w:pPr>
      <w:r>
        <w:rPr>
          <w:rFonts w:hint="eastAsia"/>
          <w:highlight w:val="none"/>
        </w:rPr>
        <w:t>乡村振兴全面推进。打造了“生态宜居”安家庄、“乡村记忆”北王庄等一批特色亮点村。全国首家“慢病互联网医院”泰安微医线上正式运营，创建国家级示范社区卫生服务中心2家、国家级群众满意卫生院2家，公共卫生服务能力明显提升。社会保障不断增强，落实低保、特困供养、残疾人“两项补贴”政策。建设幸福食堂30处。城镇失业登记率稳定在4%以下。</w:t>
      </w:r>
    </w:p>
    <w:p>
      <w:pPr>
        <w:ind w:firstLine="560"/>
        <w:rPr>
          <w:highlight w:val="none"/>
        </w:rPr>
      </w:pPr>
      <w:r>
        <w:rPr>
          <w:rFonts w:hint="eastAsia"/>
          <w:highlight w:val="none"/>
        </w:rPr>
        <w:t>大力推进全区生态文明村镇建设，统筹实施城乡环境综合整治，改善农村人居环境，截至2022年底，共创建省级美丽乡村示范村7个、市级美丽乡村示范村20个，区级美丽乡村示范村29个。2023年，争创省级和美乡村1个，自创省级和美乡村2个，市级和美乡村2个，区级和美乡村2个。为泰安市“零碳泰山”建设与争做零碳旅游的先行者和示范区助力。</w:t>
      </w:r>
    </w:p>
    <w:p>
      <w:pPr>
        <w:pStyle w:val="4"/>
        <w:spacing w:before="156"/>
        <w:ind w:left="480" w:hanging="49"/>
        <w:rPr>
          <w:highlight w:val="none"/>
        </w:rPr>
      </w:pPr>
      <w:r>
        <w:rPr>
          <w:highlight w:val="none"/>
        </w:rPr>
        <w:t>深入推广</w:t>
      </w:r>
      <w:r>
        <w:rPr>
          <w:rFonts w:hint="eastAsia"/>
          <w:highlight w:val="none"/>
        </w:rPr>
        <w:t>生态文明宣传教育</w:t>
      </w:r>
    </w:p>
    <w:p>
      <w:pPr>
        <w:ind w:firstLine="560"/>
        <w:rPr>
          <w:szCs w:val="28"/>
          <w:highlight w:val="none"/>
        </w:rPr>
      </w:pPr>
      <w:r>
        <w:rPr>
          <w:rFonts w:cs="Times New Roman"/>
          <w:szCs w:val="28"/>
          <w:highlight w:val="none"/>
        </w:rPr>
        <w:t>创新提出</w:t>
      </w:r>
      <w:r>
        <w:rPr>
          <w:rFonts w:hint="eastAsia" w:cs="Times New Roman"/>
          <w:szCs w:val="28"/>
          <w:highlight w:val="none"/>
        </w:rPr>
        <w:t>“</w:t>
      </w:r>
      <w:r>
        <w:rPr>
          <w:rFonts w:cs="Times New Roman"/>
          <w:szCs w:val="28"/>
          <w:highlight w:val="none"/>
        </w:rPr>
        <w:t>3651</w:t>
      </w:r>
      <w:r>
        <w:rPr>
          <w:rFonts w:hint="eastAsia" w:cs="Times New Roman"/>
          <w:szCs w:val="28"/>
          <w:highlight w:val="none"/>
        </w:rPr>
        <w:t>”</w:t>
      </w:r>
      <w:r>
        <w:rPr>
          <w:rFonts w:cs="Times New Roman"/>
          <w:szCs w:val="28"/>
          <w:highlight w:val="none"/>
        </w:rPr>
        <w:t>党建工作法，依托模范机关建设省市县</w:t>
      </w:r>
      <w:r>
        <w:rPr>
          <w:rFonts w:hint="eastAsia" w:cs="Times New Roman"/>
          <w:szCs w:val="28"/>
          <w:highlight w:val="none"/>
        </w:rPr>
        <w:t>“</w:t>
      </w:r>
      <w:r>
        <w:rPr>
          <w:rFonts w:cs="Times New Roman"/>
          <w:szCs w:val="28"/>
          <w:highlight w:val="none"/>
        </w:rPr>
        <w:t>三级联动</w:t>
      </w:r>
      <w:r>
        <w:rPr>
          <w:rFonts w:hint="eastAsia" w:cs="Times New Roman"/>
          <w:szCs w:val="28"/>
          <w:highlight w:val="none"/>
        </w:rPr>
        <w:t>”</w:t>
      </w:r>
      <w:r>
        <w:rPr>
          <w:rFonts w:cs="Times New Roman"/>
          <w:szCs w:val="28"/>
          <w:highlight w:val="none"/>
        </w:rPr>
        <w:t>试点，打造</w:t>
      </w:r>
      <w:r>
        <w:rPr>
          <w:rFonts w:hint="eastAsia" w:cs="Times New Roman"/>
          <w:szCs w:val="28"/>
          <w:highlight w:val="none"/>
        </w:rPr>
        <w:t>“</w:t>
      </w:r>
      <w:r>
        <w:rPr>
          <w:rFonts w:cs="Times New Roman"/>
          <w:szCs w:val="28"/>
          <w:highlight w:val="none"/>
        </w:rPr>
        <w:t>当标杆·作表率，泰安蓝·汶水清·党旗红</w:t>
      </w:r>
      <w:r>
        <w:rPr>
          <w:rFonts w:hint="eastAsia" w:cs="Times New Roman"/>
          <w:szCs w:val="28"/>
          <w:highlight w:val="none"/>
        </w:rPr>
        <w:t>”</w:t>
      </w:r>
      <w:r>
        <w:rPr>
          <w:rFonts w:cs="Times New Roman"/>
          <w:szCs w:val="28"/>
          <w:highlight w:val="none"/>
        </w:rPr>
        <w:t>党建品牌。将生态文明列入党政领导干部学习培训的必修课程，引导各级领导干部牢固树立尊重自然、顺应自然、保护自然的生态文明理念，党政领导干部参加生态文明培训的人数达100%。秉持</w:t>
      </w:r>
      <w:r>
        <w:rPr>
          <w:rFonts w:hint="eastAsia" w:cs="Times New Roman"/>
          <w:szCs w:val="28"/>
          <w:highlight w:val="none"/>
        </w:rPr>
        <w:t>“</w:t>
      </w:r>
      <w:r>
        <w:rPr>
          <w:rFonts w:cs="Times New Roman"/>
          <w:szCs w:val="28"/>
          <w:highlight w:val="none"/>
        </w:rPr>
        <w:t>365天 每天都是六五环境日</w:t>
      </w:r>
      <w:r>
        <w:rPr>
          <w:rFonts w:hint="eastAsia" w:cs="Times New Roman"/>
          <w:szCs w:val="28"/>
          <w:highlight w:val="none"/>
        </w:rPr>
        <w:t>”</w:t>
      </w:r>
      <w:r>
        <w:rPr>
          <w:rFonts w:cs="Times New Roman"/>
          <w:szCs w:val="28"/>
          <w:highlight w:val="none"/>
        </w:rPr>
        <w:t>理念，深入开展生态文明宣传教育主题活动。组织开展</w:t>
      </w:r>
      <w:r>
        <w:rPr>
          <w:rFonts w:hint="eastAsia" w:cs="Times New Roman"/>
          <w:szCs w:val="28"/>
          <w:highlight w:val="none"/>
        </w:rPr>
        <w:t>“</w:t>
      </w:r>
      <w:r>
        <w:rPr>
          <w:rFonts w:cs="Times New Roman"/>
          <w:szCs w:val="28"/>
          <w:highlight w:val="none"/>
        </w:rPr>
        <w:t>环境日+</w:t>
      </w:r>
      <w:r>
        <w:rPr>
          <w:rFonts w:hint="eastAsia" w:cs="Times New Roman"/>
          <w:szCs w:val="28"/>
          <w:highlight w:val="none"/>
        </w:rPr>
        <w:t>”</w:t>
      </w:r>
      <w:r>
        <w:rPr>
          <w:rFonts w:cs="Times New Roman"/>
          <w:szCs w:val="28"/>
          <w:highlight w:val="none"/>
        </w:rPr>
        <w:t>系列活动，深入社区进行宣讲20次，受众达33000余人。</w:t>
      </w:r>
      <w:r>
        <w:rPr>
          <w:rFonts w:hint="eastAsia" w:cs="Times New Roman"/>
          <w:szCs w:val="28"/>
          <w:highlight w:val="none"/>
        </w:rPr>
        <w:t>“</w:t>
      </w:r>
      <w:r>
        <w:rPr>
          <w:rFonts w:cs="Times New Roman"/>
          <w:szCs w:val="28"/>
          <w:highlight w:val="none"/>
        </w:rPr>
        <w:t>泰山榜样</w:t>
      </w:r>
      <w:r>
        <w:rPr>
          <w:rFonts w:hint="eastAsia" w:cs="Times New Roman"/>
          <w:szCs w:val="28"/>
          <w:highlight w:val="none"/>
        </w:rPr>
        <w:t>”</w:t>
      </w:r>
      <w:r>
        <w:rPr>
          <w:rFonts w:cs="Times New Roman"/>
          <w:szCs w:val="28"/>
          <w:highlight w:val="none"/>
        </w:rPr>
        <w:t>先锋模范人物获市级领导点赞。</w:t>
      </w:r>
      <w:r>
        <w:rPr>
          <w:rFonts w:hint="eastAsia"/>
          <w:szCs w:val="28"/>
          <w:highlight w:val="none"/>
        </w:rPr>
        <w:t>“击鼓传花”式群众文化活动经验在全国推广，首届泰山鼓乐节荣登央视《新闻联播》。</w:t>
      </w:r>
    </w:p>
    <w:p>
      <w:pPr>
        <w:ind w:firstLine="560"/>
        <w:rPr>
          <w:szCs w:val="28"/>
          <w:highlight w:val="none"/>
        </w:rPr>
      </w:pPr>
      <w:r>
        <w:rPr>
          <w:rFonts w:hint="eastAsia"/>
          <w:szCs w:val="28"/>
          <w:highlight w:val="none"/>
        </w:rPr>
        <w:t>文化公共设施不断完善，文化产业蓬勃发展，公共文化服务体系和文化产业体系更加健全。文化旅游深度融合，全域、全季、全时旅游格局逐步形成，文化品牌影响力大幅增强。</w:t>
      </w:r>
    </w:p>
    <w:p>
      <w:pPr>
        <w:ind w:firstLine="560"/>
        <w:rPr>
          <w:szCs w:val="28"/>
          <w:highlight w:val="none"/>
        </w:rPr>
      </w:pPr>
      <w:r>
        <w:rPr>
          <w:rFonts w:cs="Times New Roman"/>
          <w:szCs w:val="28"/>
          <w:highlight w:val="none"/>
        </w:rPr>
        <w:t>大力</w:t>
      </w:r>
      <w:r>
        <w:rPr>
          <w:rFonts w:cs="Times New Roman"/>
          <w:szCs w:val="28"/>
          <w:highlight w:val="none"/>
          <w:lang w:val="zh-CN"/>
        </w:rPr>
        <w:t>宣传</w:t>
      </w:r>
      <w:r>
        <w:rPr>
          <w:rFonts w:cs="Times New Roman"/>
          <w:szCs w:val="28"/>
          <w:highlight w:val="none"/>
        </w:rPr>
        <w:t>生态环境保护、绿色低碳循环发展等理念，不断提高公众生态文明素养，增强公众参与生态文明建设的使命感和责任感，营造全社会牢固树立生态文明观念的良好氛围。</w:t>
      </w:r>
      <w:r>
        <w:rPr>
          <w:rFonts w:hint="eastAsia" w:cs="Times New Roman"/>
          <w:szCs w:val="28"/>
          <w:highlight w:val="none"/>
        </w:rPr>
        <w:t>2022年，</w:t>
      </w:r>
      <w:r>
        <w:rPr>
          <w:rFonts w:cs="Times New Roman"/>
          <w:szCs w:val="28"/>
          <w:highlight w:val="none"/>
        </w:rPr>
        <w:t>公众对生态文明建设的满意度达到97.85%。</w:t>
      </w:r>
    </w:p>
    <w:p>
      <w:pPr>
        <w:pStyle w:val="39"/>
        <w:spacing w:line="580" w:lineRule="exact"/>
        <w:ind w:firstLine="560" w:firstLineChars="200"/>
        <w:rPr>
          <w:rFonts w:hint="default"/>
          <w:color w:val="auto"/>
          <w:sz w:val="28"/>
          <w:szCs w:val="28"/>
          <w:highlight w:val="none"/>
        </w:rPr>
        <w:sectPr>
          <w:footerReference r:id="rId17" w:type="default"/>
          <w:pgSz w:w="11906" w:h="16838"/>
          <w:pgMar w:top="1440" w:right="1800" w:bottom="1440" w:left="1800" w:header="851" w:footer="992" w:gutter="0"/>
          <w:pgNumType w:start="1"/>
          <w:cols w:space="425" w:num="1"/>
          <w:docGrid w:type="lines" w:linePitch="312" w:charSpace="0"/>
        </w:sectPr>
      </w:pPr>
    </w:p>
    <w:bookmarkEnd w:id="75"/>
    <w:p>
      <w:pPr>
        <w:pStyle w:val="2"/>
        <w:rPr>
          <w:highlight w:val="none"/>
        </w:rPr>
      </w:pPr>
      <w:bookmarkStart w:id="76" w:name="_Toc143041419"/>
      <w:bookmarkStart w:id="77" w:name="_Toc19238"/>
      <w:bookmarkStart w:id="78" w:name="_Toc3915"/>
      <w:bookmarkStart w:id="79" w:name="_Toc5760"/>
      <w:r>
        <w:rPr>
          <w:rFonts w:hint="eastAsia"/>
          <w:highlight w:val="none"/>
        </w:rPr>
        <w:t>存在问题与机遇挑战</w:t>
      </w:r>
      <w:bookmarkEnd w:id="76"/>
      <w:bookmarkEnd w:id="77"/>
      <w:bookmarkEnd w:id="78"/>
      <w:bookmarkEnd w:id="79"/>
    </w:p>
    <w:p>
      <w:pPr>
        <w:pStyle w:val="3"/>
        <w:rPr>
          <w:b/>
          <w:bCs w:val="0"/>
          <w:highlight w:val="none"/>
        </w:rPr>
      </w:pPr>
      <w:bookmarkStart w:id="80" w:name="_Toc28486"/>
      <w:bookmarkStart w:id="81" w:name="_Toc143041420"/>
      <w:bookmarkStart w:id="82" w:name="_Toc21956"/>
      <w:bookmarkStart w:id="83" w:name="_Toc27720"/>
      <w:r>
        <w:rPr>
          <w:rFonts w:hint="eastAsia"/>
          <w:b/>
          <w:bCs w:val="0"/>
          <w:highlight w:val="none"/>
        </w:rPr>
        <w:t>存在问题</w:t>
      </w:r>
      <w:bookmarkEnd w:id="80"/>
      <w:bookmarkEnd w:id="81"/>
      <w:bookmarkEnd w:id="82"/>
      <w:bookmarkEnd w:id="83"/>
    </w:p>
    <w:p>
      <w:pPr>
        <w:pStyle w:val="4"/>
        <w:spacing w:before="156"/>
        <w:rPr>
          <w:highlight w:val="none"/>
        </w:rPr>
      </w:pPr>
      <w:bookmarkStart w:id="84" w:name="_Toc72763633"/>
      <w:r>
        <w:rPr>
          <w:highlight w:val="none"/>
        </w:rPr>
        <w:t>生态文明体制机制</w:t>
      </w:r>
      <w:r>
        <w:rPr>
          <w:rFonts w:hint="eastAsia"/>
          <w:highlight w:val="none"/>
        </w:rPr>
        <w:t>有待完善</w:t>
      </w:r>
      <w:bookmarkEnd w:id="84"/>
    </w:p>
    <w:p>
      <w:pPr>
        <w:ind w:firstLine="560"/>
        <w:rPr>
          <w:rFonts w:eastAsia="宋体" w:cs="Times New Roman"/>
          <w:b/>
          <w:szCs w:val="24"/>
          <w:highlight w:val="none"/>
          <w:lang w:val="zh-CN" w:bidi="en-US"/>
        </w:rPr>
      </w:pPr>
      <w:r>
        <w:rPr>
          <w:rFonts w:hint="eastAsia"/>
          <w:highlight w:val="none"/>
        </w:rPr>
        <w:t>生态文明制度建设的系统性、整体性、协同性需要完善，对比生态文明建设示范区要求，尚有自然资源资产产权</w:t>
      </w:r>
      <w:r>
        <w:rPr>
          <w:highlight w:val="none"/>
        </w:rPr>
        <w:t>和用途管制制度</w:t>
      </w:r>
      <w:r>
        <w:rPr>
          <w:rFonts w:hint="eastAsia"/>
          <w:highlight w:val="none"/>
        </w:rPr>
        <w:t>、领导干部自然资源资产离任审计等多项关键制度尚不成熟，生态文明建设的市场化推进机制还需进一步健全，新时期进一步提升生态文明发展水平的改革创新动力有待提升。</w:t>
      </w:r>
      <w:r>
        <w:rPr>
          <w:highlight w:val="none"/>
        </w:rPr>
        <w:t>生态文明建设政绩考核机制、责任追究机制</w:t>
      </w:r>
      <w:r>
        <w:rPr>
          <w:rFonts w:hint="eastAsia"/>
          <w:highlight w:val="none"/>
        </w:rPr>
        <w:t>有待</w:t>
      </w:r>
      <w:r>
        <w:rPr>
          <w:highlight w:val="none"/>
        </w:rPr>
        <w:t>完善。生态产品价值实现机制有待继续探索</w:t>
      </w:r>
      <w:r>
        <w:rPr>
          <w:rFonts w:hint="eastAsia"/>
          <w:highlight w:val="none"/>
        </w:rPr>
        <w:t>，</w:t>
      </w:r>
      <w:r>
        <w:rPr>
          <w:highlight w:val="none"/>
        </w:rPr>
        <w:t>对于基于自然资源的生态产品价值实现探索不足，</w:t>
      </w:r>
      <w:r>
        <w:rPr>
          <w:rFonts w:hint="eastAsia"/>
          <w:highlight w:val="none"/>
        </w:rPr>
        <w:t>还</w:t>
      </w:r>
      <w:r>
        <w:rPr>
          <w:highlight w:val="none"/>
        </w:rPr>
        <w:t>未形成具有区域特点的生态产品价值实现的有效机制</w:t>
      </w:r>
      <w:r>
        <w:rPr>
          <w:rFonts w:hint="eastAsia"/>
          <w:highlight w:val="none"/>
        </w:rPr>
        <w:t>，优质生态产品供给路径未打通</w:t>
      </w:r>
      <w:r>
        <w:rPr>
          <w:highlight w:val="none"/>
        </w:rPr>
        <w:t>。生态监测能力</w:t>
      </w:r>
      <w:r>
        <w:rPr>
          <w:rFonts w:hint="eastAsia"/>
          <w:highlight w:val="none"/>
        </w:rPr>
        <w:t>需</w:t>
      </w:r>
      <w:r>
        <w:rPr>
          <w:highlight w:val="none"/>
        </w:rPr>
        <w:t>补充，建设项目事中事后监管能力有待提高，环保综合执法监管力量有待强化。生态文明宣传教育的广度和深度有待</w:t>
      </w:r>
      <w:r>
        <w:rPr>
          <w:rFonts w:hint="eastAsia"/>
          <w:highlight w:val="none"/>
        </w:rPr>
        <w:t>进一步</w:t>
      </w:r>
      <w:r>
        <w:rPr>
          <w:highlight w:val="none"/>
        </w:rPr>
        <w:t>拓展。</w:t>
      </w:r>
    </w:p>
    <w:p>
      <w:pPr>
        <w:pStyle w:val="4"/>
        <w:spacing w:before="156"/>
        <w:rPr>
          <w:highlight w:val="none"/>
        </w:rPr>
      </w:pPr>
      <w:bookmarkStart w:id="85" w:name="_Toc72763634"/>
      <w:r>
        <w:rPr>
          <w:highlight w:val="none"/>
        </w:rPr>
        <w:t>生态环境保护任务仍然艰巨</w:t>
      </w:r>
      <w:bookmarkEnd w:id="85"/>
    </w:p>
    <w:p>
      <w:pPr>
        <w:spacing w:line="240" w:lineRule="auto"/>
        <w:ind w:firstLine="560"/>
        <w:jc w:val="left"/>
        <w:rPr>
          <w:highlight w:val="none"/>
          <w:lang w:val="zh-CN" w:bidi="en-US"/>
        </w:rPr>
      </w:pPr>
      <w:r>
        <w:rPr>
          <w:highlight w:val="none"/>
        </w:rPr>
        <w:t>环境质量改善压力仍然较大，生态环境违法行为仍然存在，环境监管能力仍有短板。细颗粒物、臭氧、温室气体协同控制，散煤、扬尘、油烟、油品等各类污染源管控，挥发性有机物治理，高污染燃料</w:t>
      </w:r>
      <w:r>
        <w:rPr>
          <w:rFonts w:hint="eastAsia"/>
          <w:highlight w:val="none"/>
        </w:rPr>
        <w:t>“</w:t>
      </w:r>
      <w:r>
        <w:rPr>
          <w:highlight w:val="none"/>
        </w:rPr>
        <w:t>清零</w:t>
      </w:r>
      <w:r>
        <w:rPr>
          <w:rFonts w:hint="eastAsia"/>
          <w:highlight w:val="none"/>
        </w:rPr>
        <w:t>”</w:t>
      </w:r>
      <w:r>
        <w:rPr>
          <w:highlight w:val="none"/>
        </w:rPr>
        <w:t>，秸秆禁烧监管等任务仍然艰巨。</w:t>
      </w:r>
      <w:r>
        <w:rPr>
          <w:rFonts w:cs="Times New Roman"/>
          <w:highlight w:val="none"/>
        </w:rPr>
        <w:t>入河排污口整治</w:t>
      </w:r>
      <w:r>
        <w:rPr>
          <w:rFonts w:hint="eastAsia" w:cs="Times New Roman"/>
          <w:highlight w:val="none"/>
        </w:rPr>
        <w:t>、</w:t>
      </w:r>
      <w:r>
        <w:rPr>
          <w:rFonts w:cs="Times New Roman"/>
          <w:highlight w:val="none"/>
        </w:rPr>
        <w:t>污水管网建设</w:t>
      </w:r>
      <w:r>
        <w:rPr>
          <w:rFonts w:hint="eastAsia" w:cs="Times New Roman"/>
          <w:highlight w:val="none"/>
        </w:rPr>
        <w:t>步伐还需加快，</w:t>
      </w:r>
      <w:r>
        <w:rPr>
          <w:rFonts w:hint="eastAsia"/>
          <w:highlight w:val="none"/>
        </w:rPr>
        <w:t>个别断面水质时有反弹，</w:t>
      </w:r>
      <w:r>
        <w:rPr>
          <w:highlight w:val="none"/>
        </w:rPr>
        <w:t>多河碧水抱城流目标实现</w:t>
      </w:r>
      <w:r>
        <w:rPr>
          <w:highlight w:val="none"/>
          <w:lang w:val="zh-CN" w:bidi="en-US"/>
        </w:rPr>
        <w:t>仍面临挑战</w:t>
      </w:r>
      <w:r>
        <w:rPr>
          <w:highlight w:val="none"/>
        </w:rPr>
        <w:t>。</w:t>
      </w:r>
      <w:r>
        <w:rPr>
          <w:highlight w:val="none"/>
          <w:lang w:val="zh-CN" w:bidi="en-US"/>
        </w:rPr>
        <w:t>秋冬季污染物减排压力大，高污染企业结构性污染问题</w:t>
      </w:r>
      <w:r>
        <w:rPr>
          <w:rFonts w:hint="eastAsia"/>
          <w:highlight w:val="none"/>
          <w:lang w:val="zh-CN" w:bidi="en-US"/>
        </w:rPr>
        <w:t>依然</w:t>
      </w:r>
      <w:r>
        <w:rPr>
          <w:highlight w:val="none"/>
          <w:lang w:val="zh-CN" w:bidi="en-US"/>
        </w:rPr>
        <w:t>严峻。农业加快发展对农用地土壤污染源头防控压力增加。</w:t>
      </w:r>
      <w:r>
        <w:rPr>
          <w:rFonts w:hint="eastAsia"/>
          <w:highlight w:val="none"/>
          <w:lang w:val="zh-CN" w:bidi="en-US"/>
        </w:rPr>
        <w:t>突发</w:t>
      </w:r>
      <w:r>
        <w:rPr>
          <w:rFonts w:hint="eastAsia"/>
          <w:highlight w:val="none"/>
          <w:lang w:bidi="en-US"/>
        </w:rPr>
        <w:t>环境</w:t>
      </w:r>
      <w:r>
        <w:rPr>
          <w:rFonts w:hint="eastAsia"/>
          <w:highlight w:val="none"/>
          <w:lang w:val="zh-CN" w:bidi="en-US"/>
        </w:rPr>
        <w:t>事件总体应急预案和专项应急预案还</w:t>
      </w:r>
      <w:r>
        <w:rPr>
          <w:rFonts w:hint="eastAsia"/>
          <w:highlight w:val="none"/>
          <w:lang w:bidi="en-US"/>
        </w:rPr>
        <w:t>需</w:t>
      </w:r>
      <w:r>
        <w:rPr>
          <w:rFonts w:hint="eastAsia"/>
          <w:highlight w:val="none"/>
          <w:lang w:val="zh-CN" w:bidi="en-US"/>
        </w:rPr>
        <w:t>进一步完善，科学高效的应急管理体系</w:t>
      </w:r>
      <w:r>
        <w:rPr>
          <w:rFonts w:hint="eastAsia"/>
          <w:highlight w:val="none"/>
          <w:lang w:bidi="en-US"/>
        </w:rPr>
        <w:t>仍</w:t>
      </w:r>
      <w:r>
        <w:rPr>
          <w:rFonts w:hint="eastAsia"/>
          <w:highlight w:val="none"/>
          <w:lang w:val="zh-CN" w:bidi="en-US"/>
        </w:rPr>
        <w:t>要加快构建，应急专业化队伍</w:t>
      </w:r>
      <w:r>
        <w:rPr>
          <w:rFonts w:hint="eastAsia"/>
          <w:highlight w:val="none"/>
          <w:lang w:bidi="en-US"/>
        </w:rPr>
        <w:t>仍需</w:t>
      </w:r>
      <w:r>
        <w:rPr>
          <w:rFonts w:hint="eastAsia"/>
          <w:highlight w:val="none"/>
          <w:lang w:val="zh-CN" w:bidi="en-US"/>
        </w:rPr>
        <w:t>加强建设。</w:t>
      </w:r>
    </w:p>
    <w:p>
      <w:pPr>
        <w:pStyle w:val="4"/>
        <w:spacing w:before="156"/>
        <w:rPr>
          <w:highlight w:val="none"/>
          <w:lang w:val="zh-CN"/>
        </w:rPr>
      </w:pPr>
      <w:bookmarkStart w:id="86" w:name="_Toc10031"/>
      <w:r>
        <w:rPr>
          <w:highlight w:val="none"/>
          <w:lang w:val="zh-CN"/>
        </w:rPr>
        <w:t>生态空间</w:t>
      </w:r>
      <w:r>
        <w:rPr>
          <w:rFonts w:hint="eastAsia"/>
          <w:highlight w:val="none"/>
        </w:rPr>
        <w:t>保护管理</w:t>
      </w:r>
      <w:r>
        <w:rPr>
          <w:highlight w:val="none"/>
          <w:lang w:val="zh-CN"/>
        </w:rPr>
        <w:t>有待加强</w:t>
      </w:r>
      <w:bookmarkEnd w:id="86"/>
    </w:p>
    <w:p>
      <w:pPr>
        <w:spacing w:line="240" w:lineRule="auto"/>
        <w:ind w:firstLine="560"/>
        <w:jc w:val="left"/>
        <w:rPr>
          <w:highlight w:val="none"/>
          <w:lang w:val="zh-CN" w:bidi="en-US"/>
        </w:rPr>
      </w:pPr>
      <w:r>
        <w:rPr>
          <w:rFonts w:hint="eastAsia"/>
          <w:highlight w:val="none"/>
          <w:lang w:val="zh-CN" w:bidi="en-US"/>
        </w:rPr>
        <w:t>生态系统保护任务繁重。泰山区</w:t>
      </w:r>
      <w:r>
        <w:rPr>
          <w:rFonts w:hint="eastAsia"/>
          <w:highlight w:val="none"/>
        </w:rPr>
        <w:t>高度重视生态保护，全区生态环境得到了大幅改善和提升。但整体而言，</w:t>
      </w:r>
      <w:r>
        <w:rPr>
          <w:rFonts w:hint="eastAsia"/>
          <w:highlight w:val="none"/>
          <w:lang w:val="zh-CN" w:bidi="en-US"/>
        </w:rPr>
        <w:t>水源涵养、水土保持等生态系统服务功能质量不够高，“山城一体”</w:t>
      </w:r>
      <w:r>
        <w:rPr>
          <w:rFonts w:hint="eastAsia"/>
          <w:highlight w:val="none"/>
          <w:lang w:bidi="en-US"/>
        </w:rPr>
        <w:t>生态保护压力大</w:t>
      </w:r>
      <w:r>
        <w:rPr>
          <w:rFonts w:hint="eastAsia"/>
          <w:highlight w:val="none"/>
          <w:lang w:val="zh-CN" w:bidi="en-US"/>
        </w:rPr>
        <w:t>，加之用地需求不断增加，生态保护与经济发展矛盾日益突出，生态修复和综合治理任务依然繁重，生态保护压力日益增大。</w:t>
      </w:r>
    </w:p>
    <w:p>
      <w:pPr>
        <w:spacing w:line="240" w:lineRule="auto"/>
        <w:ind w:firstLine="560"/>
        <w:jc w:val="left"/>
        <w:rPr>
          <w:highlight w:val="none"/>
          <w:lang w:val="zh-CN" w:bidi="en-US"/>
        </w:rPr>
      </w:pPr>
      <w:r>
        <w:rPr>
          <w:rFonts w:hint="eastAsia"/>
          <w:highlight w:val="none"/>
          <w:lang w:bidi="en-US"/>
        </w:rPr>
        <w:t>区域</w:t>
      </w:r>
      <w:r>
        <w:rPr>
          <w:rFonts w:hint="eastAsia"/>
          <w:highlight w:val="none"/>
        </w:rPr>
        <w:t>内生态环境要素精细化监测、监管能力与当前生态环境保护发展的新形势、新要求还存在差距，生态环境监测监管技术支撑体系仍较薄弱，信息化集成、智慧监管手段及基础较薄弱。</w:t>
      </w:r>
      <w:r>
        <w:rPr>
          <w:rFonts w:hint="eastAsia"/>
          <w:highlight w:val="none"/>
          <w:lang w:val="zh-CN" w:bidi="en-US"/>
        </w:rPr>
        <w:t>保护地体系建设缺乏统筹。</w:t>
      </w:r>
      <w:r>
        <w:rPr>
          <w:rFonts w:hint="eastAsia"/>
          <w:highlight w:val="none"/>
        </w:rPr>
        <w:t>局部河道岸线开发利用程度高，岸线资源相对紧缺的矛盾日益凸显。</w:t>
      </w:r>
    </w:p>
    <w:p>
      <w:pPr>
        <w:pStyle w:val="4"/>
        <w:spacing w:before="156"/>
        <w:rPr>
          <w:highlight w:val="none"/>
          <w:lang w:val="zh-CN"/>
        </w:rPr>
      </w:pPr>
      <w:bookmarkStart w:id="87" w:name="_Toc52"/>
      <w:r>
        <w:rPr>
          <w:highlight w:val="none"/>
          <w:lang w:val="zh-CN"/>
        </w:rPr>
        <w:t>产业绿色发展水平仍需提升</w:t>
      </w:r>
      <w:bookmarkEnd w:id="87"/>
    </w:p>
    <w:p>
      <w:pPr>
        <w:spacing w:line="240" w:lineRule="auto"/>
        <w:ind w:firstLine="560"/>
        <w:jc w:val="left"/>
        <w:rPr>
          <w:bCs/>
          <w:szCs w:val="30"/>
          <w:highlight w:val="none"/>
        </w:rPr>
      </w:pPr>
      <w:r>
        <w:rPr>
          <w:rFonts w:hint="eastAsia"/>
          <w:highlight w:val="none"/>
          <w:lang w:bidi="en-US"/>
        </w:rPr>
        <w:t>绿色高质量发展脚步仍需加快。产业集群发展自主创新力不足。中低端产业比重偏大、工业集群发展优势不够明显、创新驱动基础相对薄弱。产业空间布局不够明确导致企业布局分散，具有核心竞争力的“产业链经济”尚未形成，集群发展优势不够明显。物流业缺乏行业规划引导。物流产业分布整体呈现“小而散”的局面，园区主要集中于城区，周边进行空间拓展受限。</w:t>
      </w:r>
      <w:r>
        <w:rPr>
          <w:bCs/>
          <w:szCs w:val="30"/>
          <w:highlight w:val="none"/>
        </w:rPr>
        <w:t>生态承载压力倒逼生产方式转变任务繁重。</w:t>
      </w:r>
      <w:bookmarkStart w:id="88" w:name="_Toc12906"/>
      <w:r>
        <w:rPr>
          <w:rFonts w:cs="Times New Roman"/>
          <w:highlight w:val="none"/>
        </w:rPr>
        <w:t>清洁生产</w:t>
      </w:r>
      <w:r>
        <w:rPr>
          <w:rFonts w:hint="eastAsia" w:cs="Times New Roman"/>
          <w:highlight w:val="none"/>
        </w:rPr>
        <w:t>水平、</w:t>
      </w:r>
      <w:r>
        <w:rPr>
          <w:rFonts w:cs="Times New Roman"/>
          <w:highlight w:val="none"/>
        </w:rPr>
        <w:t>能源结构优化</w:t>
      </w:r>
      <w:r>
        <w:rPr>
          <w:rFonts w:hint="eastAsia" w:cs="Times New Roman"/>
          <w:highlight w:val="none"/>
        </w:rPr>
        <w:t>、</w:t>
      </w:r>
      <w:r>
        <w:rPr>
          <w:rFonts w:cs="Times New Roman"/>
          <w:highlight w:val="none"/>
        </w:rPr>
        <w:t>绿色能源体系构建</w:t>
      </w:r>
      <w:r>
        <w:rPr>
          <w:rFonts w:hint="eastAsia" w:cs="Times New Roman"/>
          <w:highlight w:val="none"/>
        </w:rPr>
        <w:t>以及</w:t>
      </w:r>
      <w:r>
        <w:rPr>
          <w:rFonts w:cs="Times New Roman"/>
          <w:highlight w:val="none"/>
        </w:rPr>
        <w:t>低碳技术推广、低碳替代产品开发应用</w:t>
      </w:r>
      <w:r>
        <w:rPr>
          <w:rFonts w:hint="eastAsia" w:cs="Times New Roman"/>
          <w:highlight w:val="none"/>
        </w:rPr>
        <w:t>仍需</w:t>
      </w:r>
      <w:r>
        <w:rPr>
          <w:rFonts w:cs="Times New Roman"/>
          <w:highlight w:val="none"/>
        </w:rPr>
        <w:t>持续推进</w:t>
      </w:r>
      <w:r>
        <w:rPr>
          <w:rFonts w:hint="eastAsia" w:cs="Times New Roman"/>
          <w:highlight w:val="none"/>
        </w:rPr>
        <w:t>，</w:t>
      </w:r>
      <w:r>
        <w:rPr>
          <w:rFonts w:cs="Times New Roman"/>
          <w:highlight w:val="none"/>
        </w:rPr>
        <w:t>传统产业到高质高效产业转变</w:t>
      </w:r>
      <w:r>
        <w:rPr>
          <w:rFonts w:hint="eastAsia" w:cs="Times New Roman"/>
          <w:highlight w:val="none"/>
        </w:rPr>
        <w:t>有待进一步</w:t>
      </w:r>
      <w:r>
        <w:rPr>
          <w:rFonts w:cs="Times New Roman"/>
          <w:highlight w:val="none"/>
        </w:rPr>
        <w:t>实现，</w:t>
      </w:r>
      <w:r>
        <w:rPr>
          <w:bCs/>
          <w:szCs w:val="30"/>
          <w:highlight w:val="none"/>
        </w:rPr>
        <w:t>旅游基础设施和产品适应旅游产业快速发展和消费需求</w:t>
      </w:r>
      <w:r>
        <w:rPr>
          <w:rFonts w:hint="eastAsia"/>
          <w:bCs/>
          <w:szCs w:val="30"/>
          <w:highlight w:val="none"/>
        </w:rPr>
        <w:t>步伐仍要加快</w:t>
      </w:r>
      <w:r>
        <w:rPr>
          <w:bCs/>
          <w:szCs w:val="30"/>
          <w:highlight w:val="none"/>
        </w:rPr>
        <w:t>。</w:t>
      </w:r>
    </w:p>
    <w:p>
      <w:pPr>
        <w:pStyle w:val="4"/>
        <w:spacing w:before="156"/>
        <w:rPr>
          <w:highlight w:val="none"/>
          <w:lang w:val="zh-CN"/>
        </w:rPr>
      </w:pPr>
      <w:r>
        <w:rPr>
          <w:highlight w:val="none"/>
          <w:lang w:val="zh-CN"/>
        </w:rPr>
        <w:t>生态生活品质有待</w:t>
      </w:r>
      <w:r>
        <w:rPr>
          <w:rFonts w:hint="eastAsia"/>
          <w:highlight w:val="none"/>
        </w:rPr>
        <w:t>持续</w:t>
      </w:r>
      <w:r>
        <w:rPr>
          <w:highlight w:val="none"/>
          <w:lang w:val="zh-CN"/>
        </w:rPr>
        <w:t>提高</w:t>
      </w:r>
      <w:bookmarkEnd w:id="88"/>
    </w:p>
    <w:p>
      <w:pPr>
        <w:spacing w:line="240" w:lineRule="auto"/>
        <w:ind w:firstLine="560"/>
        <w:jc w:val="left"/>
        <w:rPr>
          <w:szCs w:val="30"/>
          <w:highlight w:val="none"/>
        </w:rPr>
      </w:pPr>
      <w:r>
        <w:rPr>
          <w:rFonts w:cs="Times New Roman"/>
          <w:highlight w:val="none"/>
        </w:rPr>
        <w:t>人居环境治理依然存在短板。农业面源污染治理、生活污水处理设施建设</w:t>
      </w:r>
      <w:r>
        <w:rPr>
          <w:rFonts w:hint="eastAsia" w:cs="Times New Roman"/>
          <w:highlight w:val="none"/>
        </w:rPr>
        <w:t>仍需推进</w:t>
      </w:r>
      <w:r>
        <w:rPr>
          <w:rFonts w:cs="Times New Roman"/>
          <w:highlight w:val="none"/>
        </w:rPr>
        <w:t>，</w:t>
      </w:r>
      <w:r>
        <w:rPr>
          <w:rFonts w:hint="eastAsia" w:cs="Times New Roman"/>
          <w:highlight w:val="none"/>
        </w:rPr>
        <w:t>农村</w:t>
      </w:r>
      <w:r>
        <w:rPr>
          <w:rFonts w:cs="Times New Roman"/>
          <w:highlight w:val="none"/>
        </w:rPr>
        <w:t>污水处理能力和处理效率</w:t>
      </w:r>
      <w:r>
        <w:rPr>
          <w:rFonts w:hint="eastAsia"/>
          <w:bCs/>
          <w:szCs w:val="30"/>
          <w:highlight w:val="none"/>
        </w:rPr>
        <w:t>有待进一步提升</w:t>
      </w:r>
      <w:r>
        <w:rPr>
          <w:bCs/>
          <w:szCs w:val="30"/>
          <w:highlight w:val="none"/>
        </w:rPr>
        <w:t>。</w:t>
      </w:r>
      <w:r>
        <w:rPr>
          <w:bCs/>
          <w:szCs w:val="30"/>
          <w:highlight w:val="none"/>
          <w:lang w:val="zh-CN" w:bidi="en-US"/>
        </w:rPr>
        <w:t>交通出行环境品质有待提高。公交运行支撑体系有待完善</w:t>
      </w:r>
      <w:r>
        <w:rPr>
          <w:rFonts w:hint="eastAsia"/>
          <w:bCs/>
          <w:szCs w:val="30"/>
          <w:highlight w:val="none"/>
          <w:lang w:val="zh-CN" w:bidi="en-US"/>
        </w:rPr>
        <w:t>，</w:t>
      </w:r>
      <w:r>
        <w:rPr>
          <w:bCs/>
          <w:szCs w:val="30"/>
          <w:highlight w:val="none"/>
          <w:lang w:val="zh-CN" w:bidi="en-US"/>
        </w:rPr>
        <w:t>公交场站、中途站等公交基础设施覆盖不足、候车条件</w:t>
      </w:r>
      <w:r>
        <w:rPr>
          <w:bCs/>
          <w:szCs w:val="30"/>
          <w:highlight w:val="none"/>
          <w:lang w:bidi="en-US"/>
        </w:rPr>
        <w:t>较</w:t>
      </w:r>
      <w:r>
        <w:rPr>
          <w:bCs/>
          <w:szCs w:val="30"/>
          <w:highlight w:val="none"/>
          <w:lang w:val="zh-CN" w:bidi="en-US"/>
        </w:rPr>
        <w:t>差。公交服务模式单一、候车时间长，加剧了居民出行对于个体机动化交通的依赖和交通拥堵。</w:t>
      </w:r>
      <w:r>
        <w:rPr>
          <w:bCs/>
          <w:szCs w:val="30"/>
          <w:highlight w:val="none"/>
          <w:lang w:bidi="en-US"/>
        </w:rPr>
        <w:t>存在</w:t>
      </w:r>
      <w:r>
        <w:rPr>
          <w:bCs/>
          <w:szCs w:val="30"/>
          <w:highlight w:val="none"/>
          <w:lang w:val="zh-CN" w:bidi="en-US"/>
        </w:rPr>
        <w:t>部分道路缺少人行道或人行道过窄设施老旧、机动车占用人行道、人车未分流等</w:t>
      </w:r>
      <w:r>
        <w:rPr>
          <w:bCs/>
          <w:szCs w:val="30"/>
          <w:highlight w:val="none"/>
          <w:lang w:bidi="en-US"/>
        </w:rPr>
        <w:t>问题</w:t>
      </w:r>
      <w:r>
        <w:rPr>
          <w:bCs/>
          <w:szCs w:val="30"/>
          <w:highlight w:val="none"/>
          <w:lang w:val="zh-CN" w:bidi="en-US"/>
        </w:rPr>
        <w:t>。绿色低碳生活方式有待培养。绿色消费、绿色出行、节水、节电等还没有真正成为人们自觉遵守的道德准则和行为规范。垃圾不分类、随意投放</w:t>
      </w:r>
      <w:r>
        <w:rPr>
          <w:bCs/>
          <w:szCs w:val="30"/>
          <w:highlight w:val="none"/>
          <w:lang w:bidi="en-US"/>
        </w:rPr>
        <w:t>等</w:t>
      </w:r>
      <w:r>
        <w:rPr>
          <w:bCs/>
          <w:szCs w:val="30"/>
          <w:highlight w:val="none"/>
          <w:lang w:val="zh-CN" w:bidi="en-US"/>
        </w:rPr>
        <w:t>不文明行为依然普遍存在，主动参与积极性不高，</w:t>
      </w:r>
      <w:r>
        <w:rPr>
          <w:rFonts w:hint="eastAsia"/>
          <w:bCs/>
          <w:szCs w:val="30"/>
          <w:highlight w:val="none"/>
          <w:lang w:bidi="en-US"/>
        </w:rPr>
        <w:t>绿色简约</w:t>
      </w:r>
      <w:r>
        <w:rPr>
          <w:rFonts w:cs="Times New Roman"/>
          <w:highlight w:val="none"/>
        </w:rPr>
        <w:t>的生活方式</w:t>
      </w:r>
      <w:r>
        <w:rPr>
          <w:rFonts w:hint="eastAsia" w:cs="Times New Roman"/>
          <w:highlight w:val="none"/>
        </w:rPr>
        <w:t>有待培养，</w:t>
      </w:r>
      <w:r>
        <w:rPr>
          <w:rFonts w:cs="Times New Roman"/>
          <w:highlight w:val="none"/>
        </w:rPr>
        <w:t>低碳</w:t>
      </w:r>
      <w:r>
        <w:rPr>
          <w:bCs/>
          <w:szCs w:val="30"/>
          <w:highlight w:val="none"/>
        </w:rPr>
        <w:t>宜居的生活空间有待进一步打造。</w:t>
      </w:r>
    </w:p>
    <w:p>
      <w:pPr>
        <w:pStyle w:val="3"/>
        <w:rPr>
          <w:b/>
          <w:bCs w:val="0"/>
          <w:highlight w:val="none"/>
        </w:rPr>
      </w:pPr>
      <w:bookmarkStart w:id="89" w:name="_Toc143041421"/>
      <w:bookmarkStart w:id="90" w:name="_Toc534"/>
      <w:bookmarkStart w:id="91" w:name="_Toc9732"/>
      <w:bookmarkStart w:id="92" w:name="_Toc13096"/>
      <w:r>
        <w:rPr>
          <w:rFonts w:hint="eastAsia"/>
          <w:b/>
          <w:bCs w:val="0"/>
          <w:highlight w:val="none"/>
        </w:rPr>
        <w:t>机遇与挑战</w:t>
      </w:r>
      <w:bookmarkEnd w:id="89"/>
      <w:bookmarkEnd w:id="90"/>
      <w:bookmarkEnd w:id="91"/>
      <w:bookmarkEnd w:id="92"/>
    </w:p>
    <w:p>
      <w:pPr>
        <w:pStyle w:val="4"/>
        <w:spacing w:before="156"/>
        <w:rPr>
          <w:highlight w:val="none"/>
        </w:rPr>
      </w:pPr>
      <w:bookmarkStart w:id="93" w:name="_Toc72763637"/>
      <w:r>
        <w:rPr>
          <w:rFonts w:hint="eastAsia"/>
          <w:highlight w:val="none"/>
        </w:rPr>
        <w:t>面临机遇</w:t>
      </w:r>
    </w:p>
    <w:p>
      <w:pPr>
        <w:pStyle w:val="5"/>
        <w:numPr>
          <w:ilvl w:val="3"/>
          <w:numId w:val="0"/>
        </w:numPr>
        <w:spacing w:before="156" w:after="156"/>
        <w:ind w:left="720"/>
        <w:rPr>
          <w:highlight w:val="none"/>
        </w:rPr>
      </w:pPr>
      <w:r>
        <w:rPr>
          <w:rFonts w:hint="eastAsia"/>
          <w:highlight w:val="none"/>
        </w:rPr>
        <w:t>1. 国家战略汇聚为泰山区提供政策支持与方向指引</w:t>
      </w:r>
    </w:p>
    <w:bookmarkEnd w:id="93"/>
    <w:p>
      <w:pPr>
        <w:spacing w:line="240" w:lineRule="auto"/>
        <w:ind w:firstLine="560"/>
        <w:jc w:val="left"/>
        <w:rPr>
          <w:bCs/>
          <w:szCs w:val="30"/>
          <w:highlight w:val="none"/>
          <w:lang w:bidi="en-US"/>
        </w:rPr>
      </w:pPr>
      <w:r>
        <w:rPr>
          <w:rFonts w:hint="eastAsia"/>
          <w:highlight w:val="none"/>
          <w:lang w:bidi="en-US"/>
        </w:rPr>
        <w:t>党的十九大报告将生态文明纳入“两个一百年”奋斗目标，</w:t>
      </w:r>
      <w:r>
        <w:rPr>
          <w:highlight w:val="none"/>
          <w:lang w:bidi="en-US"/>
        </w:rPr>
        <w:t>将</w:t>
      </w:r>
      <w:r>
        <w:rPr>
          <w:rFonts w:hint="eastAsia"/>
          <w:highlight w:val="none"/>
          <w:lang w:bidi="en-US"/>
        </w:rPr>
        <w:t>生</w:t>
      </w:r>
      <w:r>
        <w:rPr>
          <w:rFonts w:hint="eastAsia"/>
          <w:bCs/>
          <w:szCs w:val="30"/>
          <w:highlight w:val="none"/>
          <w:lang w:bidi="en-US"/>
        </w:rPr>
        <w:t>态文明建设作为中华民族永续发展的千年大计。党的二十大报告提出“坚持绿水青山就是金山银山的理念，健全生态文明制度体系，使祖国天更蓝、山更绿、水更清”，要求全党全社会建设“人与自然和谐共生的现代化”。2021年中共中央、国务院印发《黄河流域生态保护和高质量发展规划纲要》，2022年山东省发布《山东省黄河流域生态保护和高质量发展规划》，泰安市委市政府出台《泰安市黄河流域生态保护和高质量发展实施规划》《泰安市“十四五”生态环境保护规划》等一系列关于生态文明建设和生态环境保护的新思想、新要求、新目标和新部署，持续释放政策红利、改革红利和发展红利，为泰山区融入和服务黄河重大国家战略，打造黄河流域生态保护先行区、建设黄河长久安澜示范区、创建黄河下游高质量发展样板区、搭建黄河文化保护传承创新区，加强生态保护治理，走出一条符合新时代要求、具有泰山区特色的高质量发展之路提供了重要契机。</w:t>
      </w:r>
    </w:p>
    <w:p>
      <w:pPr>
        <w:pStyle w:val="5"/>
        <w:numPr>
          <w:ilvl w:val="3"/>
          <w:numId w:val="0"/>
        </w:numPr>
        <w:spacing w:before="156" w:after="156"/>
        <w:ind w:left="720"/>
        <w:rPr>
          <w:highlight w:val="none"/>
        </w:rPr>
      </w:pPr>
      <w:bookmarkStart w:id="94" w:name="_Toc72763639"/>
      <w:r>
        <w:rPr>
          <w:rFonts w:hint="eastAsia"/>
          <w:highlight w:val="none"/>
        </w:rPr>
        <w:t>2. “双碳”与绿色低碳高质量发展绘制“新蓝图”</w:t>
      </w:r>
    </w:p>
    <w:p>
      <w:pPr>
        <w:spacing w:before="156" w:line="240" w:lineRule="auto"/>
        <w:ind w:firstLine="560"/>
        <w:jc w:val="left"/>
        <w:rPr>
          <w:bCs/>
          <w:szCs w:val="30"/>
          <w:highlight w:val="none"/>
          <w:lang w:bidi="en-US"/>
        </w:rPr>
      </w:pPr>
      <w:r>
        <w:rPr>
          <w:rFonts w:hint="eastAsia"/>
          <w:bCs/>
          <w:szCs w:val="30"/>
          <w:highlight w:val="none"/>
          <w:lang w:bidi="en-US"/>
        </w:rPr>
        <w:t>习近平总书记强调，实现碳达峰、碳中和是一场广泛而深刻的经济社会系统性变革。党的二十大报告进一步指出，要协同推进降碳、减污、扩绿、增长，推进生态优先、节约集约、绿色低碳发展。高质量发展是全面建设社会主义现代化国家的首要任务，推动经济社会发展绿色化、低碳化是实现高质量发展的关键环节。2022年8月，国务院印发《关于支持山东深化新旧动能转换推动绿色低碳高质量发展的意见》，赋予山东建设绿色低碳高质量发展先行区的重大使命，为中国式现代化山东实践开辟了广阔空间。山东省委、省政府印发《山东省建设绿色低碳高质量发展先行区三年行动计划（2023—2025年）》，提出纵深推进新旧动能转换。山东</w:t>
      </w:r>
      <w:r>
        <w:rPr>
          <w:bCs/>
          <w:szCs w:val="30"/>
          <w:highlight w:val="none"/>
          <w:lang w:bidi="en-US"/>
        </w:rPr>
        <w:t>省生态环境厅印发《山东省近零碳城市、近零碳园区、近零碳社区示范创建实施方案》，</w:t>
      </w:r>
      <w:r>
        <w:rPr>
          <w:rFonts w:hint="eastAsia"/>
          <w:bCs/>
          <w:szCs w:val="30"/>
          <w:highlight w:val="none"/>
          <w:lang w:bidi="en-US"/>
        </w:rPr>
        <w:t>提出</w:t>
      </w:r>
      <w:r>
        <w:rPr>
          <w:bCs/>
          <w:szCs w:val="30"/>
          <w:highlight w:val="none"/>
          <w:lang w:bidi="en-US"/>
        </w:rPr>
        <w:t>积极探索近零碳发展模式，推动近零碳建设，提高绿色低碳发展水平。</w:t>
      </w:r>
      <w:r>
        <w:rPr>
          <w:rFonts w:hint="eastAsia"/>
          <w:bCs/>
          <w:szCs w:val="30"/>
          <w:highlight w:val="none"/>
          <w:lang w:bidi="en-US"/>
        </w:rPr>
        <w:t>一系列</w:t>
      </w:r>
      <w:r>
        <w:rPr>
          <w:bCs/>
          <w:szCs w:val="30"/>
          <w:highlight w:val="none"/>
          <w:lang w:bidi="en-US"/>
        </w:rPr>
        <w:t>政策发布为绿色低碳高质量发展提供强大动力和活力</w:t>
      </w:r>
      <w:r>
        <w:rPr>
          <w:rFonts w:hint="eastAsia"/>
          <w:bCs/>
          <w:szCs w:val="30"/>
          <w:highlight w:val="none"/>
          <w:lang w:bidi="en-US"/>
        </w:rPr>
        <w:t>。</w:t>
      </w:r>
      <w:r>
        <w:rPr>
          <w:bCs/>
          <w:szCs w:val="30"/>
          <w:highlight w:val="none"/>
          <w:lang w:bidi="en-US"/>
        </w:rPr>
        <w:t>泰山区生态区位重要，坐拥</w:t>
      </w:r>
      <w:r>
        <w:rPr>
          <w:rFonts w:cs="Times New Roman"/>
          <w:highlight w:val="none"/>
        </w:rPr>
        <w:t>泰山风景名胜区，旅</w:t>
      </w:r>
      <w:r>
        <w:rPr>
          <w:rFonts w:hint="eastAsia"/>
          <w:bCs/>
          <w:szCs w:val="30"/>
          <w:highlight w:val="none"/>
          <w:lang w:bidi="en-US"/>
        </w:rPr>
        <w:t>游业、现代化服务业发展条件得天独厚，数字化工业发展具备良好基础，“双碳”目标与路径与</w:t>
      </w:r>
      <w:r>
        <w:rPr>
          <w:highlight w:val="none"/>
        </w:rPr>
        <w:t>绿色低碳高质量发展先行区建设</w:t>
      </w:r>
      <w:r>
        <w:rPr>
          <w:rFonts w:hint="eastAsia"/>
          <w:highlight w:val="none"/>
        </w:rPr>
        <w:t>等政策</w:t>
      </w:r>
      <w:r>
        <w:rPr>
          <w:rFonts w:hint="eastAsia"/>
          <w:bCs/>
          <w:szCs w:val="30"/>
          <w:highlight w:val="none"/>
          <w:lang w:bidi="en-US"/>
        </w:rPr>
        <w:t>的提出，为泰山</w:t>
      </w:r>
      <w:r>
        <w:rPr>
          <w:bCs/>
          <w:szCs w:val="30"/>
          <w:highlight w:val="none"/>
          <w:lang w:bidi="en-US"/>
        </w:rPr>
        <w:t>区大力推进生态建设，提升生态系统碳汇能力，建设</w:t>
      </w:r>
      <w:r>
        <w:rPr>
          <w:rFonts w:hint="eastAsia"/>
          <w:bCs/>
          <w:szCs w:val="30"/>
          <w:highlight w:val="none"/>
          <w:lang w:bidi="en-US"/>
        </w:rPr>
        <w:t>“</w:t>
      </w:r>
      <w:r>
        <w:rPr>
          <w:bCs/>
          <w:szCs w:val="30"/>
          <w:highlight w:val="none"/>
          <w:lang w:bidi="en-US"/>
        </w:rPr>
        <w:t>零碳泰山</w:t>
      </w:r>
      <w:r>
        <w:rPr>
          <w:rFonts w:hint="eastAsia"/>
          <w:bCs/>
          <w:szCs w:val="30"/>
          <w:highlight w:val="none"/>
          <w:lang w:bidi="en-US"/>
        </w:rPr>
        <w:t>”等</w:t>
      </w:r>
      <w:r>
        <w:rPr>
          <w:bCs/>
          <w:szCs w:val="30"/>
          <w:highlight w:val="none"/>
          <w:lang w:bidi="en-US"/>
        </w:rPr>
        <w:t>提供了重大机遇。</w:t>
      </w:r>
    </w:p>
    <w:bookmarkEnd w:id="94"/>
    <w:p>
      <w:pPr>
        <w:pStyle w:val="5"/>
        <w:numPr>
          <w:ilvl w:val="3"/>
          <w:numId w:val="0"/>
        </w:numPr>
        <w:spacing w:before="156" w:after="156"/>
        <w:ind w:left="720"/>
        <w:rPr>
          <w:highlight w:val="none"/>
        </w:rPr>
      </w:pPr>
      <w:bookmarkStart w:id="95" w:name="_Toc72763640"/>
      <w:bookmarkStart w:id="96" w:name="_Hlk72400028"/>
      <w:r>
        <w:rPr>
          <w:rFonts w:hint="eastAsia"/>
          <w:highlight w:val="none"/>
        </w:rPr>
        <w:t>3. 山东新旧动能转换综合试验区建设</w:t>
      </w:r>
      <w:r>
        <w:rPr>
          <w:highlight w:val="none"/>
        </w:rPr>
        <w:t>提供</w:t>
      </w:r>
      <w:r>
        <w:rPr>
          <w:rFonts w:hint="eastAsia"/>
          <w:highlight w:val="none"/>
        </w:rPr>
        <w:t>有力支撑</w:t>
      </w:r>
      <w:bookmarkEnd w:id="95"/>
    </w:p>
    <w:bookmarkEnd w:id="96"/>
    <w:p>
      <w:pPr>
        <w:spacing w:line="240" w:lineRule="auto"/>
        <w:ind w:firstLine="560"/>
        <w:jc w:val="left"/>
        <w:rPr>
          <w:bCs/>
          <w:szCs w:val="30"/>
          <w:highlight w:val="none"/>
          <w:lang w:val="zh-CN" w:bidi="en-US"/>
        </w:rPr>
      </w:pPr>
      <w:r>
        <w:rPr>
          <w:bCs/>
          <w:szCs w:val="30"/>
          <w:highlight w:val="none"/>
          <w:lang w:val="zh-CN" w:bidi="en-US"/>
        </w:rPr>
        <w:t>2018年1月，国务院批复山东省政府、国家发展改革委，原则同意《山东新旧动能转换综合试验区建设总体方案》</w:t>
      </w:r>
      <w:r>
        <w:rPr>
          <w:rFonts w:hint="eastAsia"/>
          <w:bCs/>
          <w:szCs w:val="30"/>
          <w:highlight w:val="none"/>
          <w:lang w:val="zh-CN" w:bidi="en-US"/>
        </w:rPr>
        <w:t>（</w:t>
      </w:r>
      <w:r>
        <w:rPr>
          <w:bCs/>
          <w:szCs w:val="30"/>
          <w:highlight w:val="none"/>
          <w:lang w:val="zh-CN" w:bidi="en-US"/>
        </w:rPr>
        <w:t>以下简称《方案》</w:t>
      </w:r>
      <w:r>
        <w:rPr>
          <w:rFonts w:hint="eastAsia"/>
          <w:bCs/>
          <w:szCs w:val="30"/>
          <w:highlight w:val="none"/>
          <w:lang w:val="zh-CN" w:bidi="en-US"/>
        </w:rPr>
        <w:t>）</w:t>
      </w:r>
      <w:r>
        <w:rPr>
          <w:bCs/>
          <w:szCs w:val="30"/>
          <w:highlight w:val="none"/>
          <w:lang w:val="zh-CN" w:bidi="en-US"/>
        </w:rPr>
        <w:t>，标志着山东新旧动能转换综合试验区建设正式成为国家战略，山东将在全国新旧动能转换中先行先试、提供示范。为促进全国新旧动能转换、建设现代化经济体系作出积极贡献。山东省委、省政府制定了《山东省新旧动能转换重大工程实施规划》提出了加大改革创新力度，进一步完善政策体系，集中释放财税、金融、土地等制度红利，为动能转换提供良好的政策环境。泰安市委市政府出台《加快工业经济发展实施十二条意见》及9个实施细则，加快全市工业经济发展。泰山区委区政府出台了《泰山区新旧动能转换重大工程实施规划》和《泰山区人民政府关于支持民营经济高质量发展的实施意见》</w:t>
      </w:r>
      <w:r>
        <w:rPr>
          <w:rFonts w:hint="eastAsia"/>
          <w:bCs/>
          <w:szCs w:val="30"/>
          <w:highlight w:val="none"/>
          <w:lang w:val="zh-CN" w:bidi="en-US"/>
        </w:rPr>
        <w:t>，</w:t>
      </w:r>
      <w:r>
        <w:rPr>
          <w:bCs/>
          <w:szCs w:val="30"/>
          <w:highlight w:val="none"/>
          <w:lang w:val="zh-CN" w:bidi="en-US"/>
        </w:rPr>
        <w:t>都将为泰山区工业经济高质量发展带来新机遇。重点领域关键环节改革不断深入，将有力推动泰山区特色产业集约化、集群化发展，在区域经济分工、错位发展中把握先机、赢得主动</w:t>
      </w:r>
      <w:r>
        <w:rPr>
          <w:rFonts w:hint="eastAsia"/>
          <w:bCs/>
          <w:szCs w:val="30"/>
          <w:highlight w:val="none"/>
          <w:lang w:val="zh-CN" w:bidi="en-US"/>
        </w:rPr>
        <w:t>。</w:t>
      </w:r>
      <w:r>
        <w:rPr>
          <w:bCs/>
          <w:szCs w:val="30"/>
          <w:highlight w:val="none"/>
          <w:lang w:val="zh-CN" w:bidi="en-US"/>
        </w:rPr>
        <w:t>为现阶段泰山区锚定</w:t>
      </w:r>
      <w:r>
        <w:rPr>
          <w:rFonts w:hint="eastAsia"/>
          <w:bCs/>
          <w:szCs w:val="30"/>
          <w:highlight w:val="none"/>
          <w:lang w:val="zh-CN" w:bidi="en-US"/>
        </w:rPr>
        <w:t>“</w:t>
      </w:r>
      <w:r>
        <w:rPr>
          <w:bCs/>
          <w:szCs w:val="30"/>
          <w:highlight w:val="none"/>
          <w:lang w:val="zh-CN" w:bidi="en-US"/>
        </w:rPr>
        <w:t>打造都市工业主阵地、当好工业产业‘路由器’</w:t>
      </w:r>
      <w:r>
        <w:rPr>
          <w:rFonts w:hint="eastAsia"/>
          <w:bCs/>
          <w:szCs w:val="30"/>
          <w:highlight w:val="none"/>
          <w:lang w:val="zh-CN" w:bidi="en-US"/>
        </w:rPr>
        <w:t>”</w:t>
      </w:r>
      <w:r>
        <w:rPr>
          <w:bCs/>
          <w:szCs w:val="30"/>
          <w:highlight w:val="none"/>
          <w:lang w:val="zh-CN" w:bidi="en-US"/>
        </w:rPr>
        <w:t>目标定位，加快生态产业化和产业生态化转型步伐，从</w:t>
      </w:r>
      <w:r>
        <w:rPr>
          <w:rFonts w:hint="eastAsia"/>
          <w:bCs/>
          <w:szCs w:val="30"/>
          <w:highlight w:val="none"/>
          <w:lang w:val="zh-CN" w:bidi="en-US"/>
        </w:rPr>
        <w:t>“</w:t>
      </w:r>
      <w:r>
        <w:rPr>
          <w:bCs/>
          <w:szCs w:val="30"/>
          <w:highlight w:val="none"/>
          <w:lang w:val="zh-CN" w:bidi="en-US"/>
        </w:rPr>
        <w:t>泰山制造</w:t>
      </w:r>
      <w:r>
        <w:rPr>
          <w:rFonts w:hint="eastAsia"/>
          <w:bCs/>
          <w:szCs w:val="30"/>
          <w:highlight w:val="none"/>
          <w:lang w:val="zh-CN" w:bidi="en-US"/>
        </w:rPr>
        <w:t>”</w:t>
      </w:r>
      <w:r>
        <w:rPr>
          <w:bCs/>
          <w:szCs w:val="30"/>
          <w:highlight w:val="none"/>
          <w:lang w:val="zh-CN" w:bidi="en-US"/>
        </w:rPr>
        <w:t>逐步迈向</w:t>
      </w:r>
      <w:r>
        <w:rPr>
          <w:rFonts w:hint="eastAsia"/>
          <w:bCs/>
          <w:szCs w:val="30"/>
          <w:highlight w:val="none"/>
          <w:lang w:val="zh-CN" w:bidi="en-US"/>
        </w:rPr>
        <w:t>“</w:t>
      </w:r>
      <w:r>
        <w:rPr>
          <w:bCs/>
          <w:szCs w:val="30"/>
          <w:highlight w:val="none"/>
          <w:lang w:val="zh-CN" w:bidi="en-US"/>
        </w:rPr>
        <w:t>泰山智造</w:t>
      </w:r>
      <w:r>
        <w:rPr>
          <w:rFonts w:hint="eastAsia"/>
          <w:bCs/>
          <w:szCs w:val="30"/>
          <w:highlight w:val="none"/>
          <w:lang w:val="zh-CN" w:bidi="en-US"/>
        </w:rPr>
        <w:t>”</w:t>
      </w:r>
      <w:r>
        <w:rPr>
          <w:rFonts w:hint="eastAsia"/>
          <w:bCs/>
          <w:szCs w:val="30"/>
          <w:highlight w:val="none"/>
          <w:lang w:bidi="en-US"/>
        </w:rPr>
        <w:t>以及</w:t>
      </w:r>
      <w:r>
        <w:rPr>
          <w:bCs/>
          <w:szCs w:val="30"/>
          <w:highlight w:val="none"/>
          <w:lang w:val="zh-CN" w:bidi="en-US"/>
        </w:rPr>
        <w:t>打造新型</w:t>
      </w:r>
      <w:r>
        <w:rPr>
          <w:rFonts w:hint="eastAsia"/>
          <w:bCs/>
          <w:szCs w:val="30"/>
          <w:highlight w:val="none"/>
          <w:lang w:val="zh-CN" w:bidi="en-US"/>
        </w:rPr>
        <w:t>工业化强区</w:t>
      </w:r>
      <w:r>
        <w:rPr>
          <w:rFonts w:hint="eastAsia"/>
          <w:bCs/>
          <w:szCs w:val="30"/>
          <w:highlight w:val="none"/>
          <w:lang w:bidi="en-US"/>
        </w:rPr>
        <w:t>等提供了</w:t>
      </w:r>
      <w:r>
        <w:rPr>
          <w:bCs/>
          <w:szCs w:val="30"/>
          <w:highlight w:val="none"/>
          <w:lang w:val="zh-CN" w:bidi="en-US"/>
        </w:rPr>
        <w:t>最佳战略选择。</w:t>
      </w:r>
    </w:p>
    <w:p>
      <w:pPr>
        <w:pStyle w:val="5"/>
        <w:numPr>
          <w:ilvl w:val="3"/>
          <w:numId w:val="0"/>
        </w:numPr>
        <w:spacing w:before="156" w:after="156"/>
        <w:ind w:left="720"/>
        <w:rPr>
          <w:highlight w:val="none"/>
        </w:rPr>
      </w:pPr>
      <w:r>
        <w:rPr>
          <w:rFonts w:hint="eastAsia"/>
          <w:highlight w:val="none"/>
        </w:rPr>
        <w:t>4. 区域一体化发展激发泰汶大地高质量发展</w:t>
      </w:r>
      <w:r>
        <w:rPr>
          <w:highlight w:val="none"/>
        </w:rPr>
        <w:t>新活力</w:t>
      </w:r>
    </w:p>
    <w:p>
      <w:pPr>
        <w:spacing w:line="240" w:lineRule="auto"/>
        <w:ind w:firstLine="560"/>
        <w:jc w:val="left"/>
        <w:rPr>
          <w:bCs/>
          <w:szCs w:val="30"/>
          <w:highlight w:val="none"/>
        </w:rPr>
      </w:pPr>
      <w:r>
        <w:rPr>
          <w:rFonts w:hint="eastAsia"/>
          <w:bCs/>
          <w:szCs w:val="30"/>
          <w:highlight w:val="none"/>
          <w:lang w:bidi="en-US"/>
        </w:rPr>
        <w:t>济泰一体化发展和东部新城区建设带来新的机遇。一方面，《泰安市城乡一体空间发展战略规划》提出“济泰共建大省会，打造成为省会城市群的先行发展区”将加快推进区域一体化发展。另一方面，济泰一体化的加速推进有利于充分发挥泰山区临近济南的区位优势，以济南产业外溢产业转移为抓手，与济南等周边地区实现产业、人才、基础设施、创新环境等方面的互联互通，将为泰山区发展提供新一轮机遇。另外，齐鲁科创大走廊、济泰同城化、省会经济圈、东部新城建设等省市重大发展战略和政策在泰山区叠加，为泰山区发展提供了强大支撑。泰城发展东拓、中优，东部新城空间规划修编等都提供了发展新机遇。在新时代现代化强区建设过程中，泰山区带着勇做新时代泰山“挑山工”的思想和行动自觉，加之这些重大机遇与区域生态、区位、文化等优势叠加放大，将全面推动全区步入高质量发展“快车道”，生态环境保护和生态文明建设全面强化，</w:t>
      </w:r>
      <w:r>
        <w:rPr>
          <w:szCs w:val="30"/>
          <w:highlight w:val="none"/>
        </w:rPr>
        <w:t>优质生态产品供给能力、</w:t>
      </w:r>
      <w:r>
        <w:rPr>
          <w:bCs/>
          <w:szCs w:val="30"/>
          <w:highlight w:val="none"/>
        </w:rPr>
        <w:t>生态资源优势向经济优势转化能力、绿色发展新动能做大做强能力将不断提升，</w:t>
      </w:r>
      <w:r>
        <w:rPr>
          <w:szCs w:val="30"/>
          <w:highlight w:val="none"/>
        </w:rPr>
        <w:t>发展活力将有效激发，内生动力将不断增强。</w:t>
      </w:r>
    </w:p>
    <w:p>
      <w:pPr>
        <w:pStyle w:val="4"/>
        <w:spacing w:before="156"/>
        <w:rPr>
          <w:highlight w:val="none"/>
        </w:rPr>
      </w:pPr>
      <w:r>
        <w:rPr>
          <w:rFonts w:hint="eastAsia"/>
          <w:highlight w:val="none"/>
        </w:rPr>
        <w:t>未来挑战</w:t>
      </w:r>
    </w:p>
    <w:p>
      <w:pPr>
        <w:pStyle w:val="5"/>
        <w:numPr>
          <w:ilvl w:val="0"/>
          <w:numId w:val="4"/>
        </w:numPr>
        <w:spacing w:before="156" w:after="156"/>
        <w:ind w:left="1560"/>
        <w:rPr>
          <w:highlight w:val="none"/>
        </w:rPr>
      </w:pPr>
      <w:r>
        <w:rPr>
          <w:rFonts w:hint="eastAsia"/>
          <w:highlight w:val="none"/>
        </w:rPr>
        <w:t>发展空间受限，产业布局协同集聚压力大</w:t>
      </w:r>
    </w:p>
    <w:p>
      <w:pPr>
        <w:ind w:firstLine="560"/>
        <w:rPr>
          <w:highlight w:val="none"/>
        </w:rPr>
      </w:pPr>
      <w:r>
        <w:rPr>
          <w:rFonts w:hint="eastAsia"/>
          <w:highlight w:val="none"/>
        </w:rPr>
        <w:t>泰山区是水源涵养重要区，区内坐拥泰山国家重点风景名胜区，是巨大华北平原生态屏障和重要的种质资源库，地理位置优越，生态区位重要，对维护</w:t>
      </w:r>
      <w:r>
        <w:rPr>
          <w:bCs/>
          <w:szCs w:val="30"/>
          <w:highlight w:val="none"/>
        </w:rPr>
        <w:t>国家生态安全有着重要作用</w:t>
      </w:r>
      <w:r>
        <w:rPr>
          <w:rFonts w:hint="eastAsia"/>
          <w:bCs/>
          <w:szCs w:val="30"/>
          <w:highlight w:val="none"/>
        </w:rPr>
        <w:t>。泰山区还</w:t>
      </w:r>
      <w:r>
        <w:rPr>
          <w:rFonts w:hint="eastAsia"/>
          <w:highlight w:val="none"/>
        </w:rPr>
        <w:t>位于中国东部重要的交通枢纽和物流中心之内，</w:t>
      </w:r>
      <w:r>
        <w:rPr>
          <w:rFonts w:cs="Times New Roman"/>
          <w:highlight w:val="none"/>
        </w:rPr>
        <w:t>是全市政治、经济、科技、文化和旅游中心</w:t>
      </w:r>
      <w:r>
        <w:rPr>
          <w:rFonts w:hint="eastAsia" w:cs="Times New Roman"/>
          <w:highlight w:val="none"/>
        </w:rPr>
        <w:t>，</w:t>
      </w:r>
      <w:r>
        <w:rPr>
          <w:rFonts w:cs="Times New Roman"/>
          <w:highlight w:val="none"/>
        </w:rPr>
        <w:t>具备得天独厚的旅游业、服务业发展条件</w:t>
      </w:r>
      <w:r>
        <w:rPr>
          <w:rFonts w:hint="eastAsia"/>
          <w:bCs/>
          <w:szCs w:val="30"/>
          <w:highlight w:val="none"/>
        </w:rPr>
        <w:t>。在</w:t>
      </w:r>
      <w:r>
        <w:rPr>
          <w:bCs/>
          <w:szCs w:val="30"/>
          <w:highlight w:val="none"/>
        </w:rPr>
        <w:t>产业</w:t>
      </w:r>
      <w:r>
        <w:rPr>
          <w:rFonts w:hint="eastAsia"/>
          <w:bCs/>
          <w:szCs w:val="30"/>
          <w:highlight w:val="none"/>
        </w:rPr>
        <w:t>发展过程中难免受到</w:t>
      </w:r>
      <w:r>
        <w:rPr>
          <w:highlight w:val="none"/>
        </w:rPr>
        <w:t>产业发展空间受限</w:t>
      </w:r>
      <w:r>
        <w:rPr>
          <w:rFonts w:hint="eastAsia"/>
          <w:highlight w:val="none"/>
        </w:rPr>
        <w:t>影响，</w:t>
      </w:r>
      <w:r>
        <w:rPr>
          <w:highlight w:val="none"/>
        </w:rPr>
        <w:t>目前泰山区土地资源已难以支撑新企业入驻需求，可开发利用空间明显不足。高端研发、新兴产业用地紧张与部分传统制造用地低效并存，区域内占地面积大、产出低的项目难以快速清退，影响产业发展质量的提升。旧厂和未利用地等低效空间较多，区域功能布局碎片化，产业对接不协调，造成产业布局没有很好地形成协同集聚效应</w:t>
      </w:r>
      <w:r>
        <w:rPr>
          <w:rFonts w:hint="eastAsia"/>
          <w:highlight w:val="none"/>
        </w:rPr>
        <w:t>。</w:t>
      </w:r>
    </w:p>
    <w:p>
      <w:pPr>
        <w:pStyle w:val="5"/>
        <w:numPr>
          <w:ilvl w:val="0"/>
          <w:numId w:val="4"/>
        </w:numPr>
        <w:spacing w:before="156" w:after="156"/>
        <w:ind w:left="1560"/>
        <w:rPr>
          <w:highlight w:val="none"/>
          <w:lang w:bidi="en-US"/>
        </w:rPr>
      </w:pPr>
      <w:bookmarkStart w:id="97" w:name="_Toc500429195"/>
      <w:bookmarkStart w:id="98" w:name="_Toc500668580"/>
      <w:bookmarkStart w:id="99" w:name="_Toc500668731"/>
      <w:r>
        <w:rPr>
          <w:rFonts w:hint="eastAsia"/>
          <w:highlight w:val="none"/>
          <w:lang w:bidi="en-US"/>
        </w:rPr>
        <w:t>资源型缺水</w:t>
      </w:r>
      <w:r>
        <w:rPr>
          <w:highlight w:val="none"/>
          <w:lang w:bidi="en-US"/>
        </w:rPr>
        <w:t>，</w:t>
      </w:r>
      <w:r>
        <w:rPr>
          <w:rFonts w:hint="eastAsia"/>
          <w:highlight w:val="none"/>
          <w:lang w:bidi="en-US"/>
        </w:rPr>
        <w:t>水资源供给结构性矛盾突出</w:t>
      </w:r>
    </w:p>
    <w:p>
      <w:pPr>
        <w:ind w:firstLine="560"/>
        <w:rPr>
          <w:highlight w:val="none"/>
        </w:rPr>
      </w:pPr>
      <w:r>
        <w:rPr>
          <w:highlight w:val="none"/>
          <w:lang w:bidi="en-US"/>
        </w:rPr>
        <w:t>随着泰山区</w:t>
      </w:r>
      <w:r>
        <w:rPr>
          <w:highlight w:val="none"/>
        </w:rPr>
        <w:t>旅</w:t>
      </w:r>
      <w:r>
        <w:rPr>
          <w:highlight w:val="none"/>
          <w:lang w:bidi="en-US"/>
        </w:rPr>
        <w:t>游业的蓬勃发展，对水资源的数量及质量要求都比较高，而</w:t>
      </w:r>
      <w:r>
        <w:rPr>
          <w:highlight w:val="none"/>
        </w:rPr>
        <w:t>泰山区</w:t>
      </w:r>
      <w:r>
        <w:rPr>
          <w:highlight w:val="none"/>
          <w:lang w:bidi="en-US"/>
        </w:rPr>
        <w:t>水资源储量严重短缺，</w:t>
      </w:r>
      <w:r>
        <w:rPr>
          <w:highlight w:val="none"/>
        </w:rPr>
        <w:t>地表水利用率低，地表径流主要是泰山山地地形效应形成的雨水资源型河流，径流量小，主要河流源头小型水库蓄水造成生态流量几乎缺失，叠加境内河流流程短、自净能力差。城区污水处理厂出水成为泰城河道水源补充的重要来源。</w:t>
      </w:r>
      <w:r>
        <w:rPr>
          <w:highlight w:val="none"/>
          <w:lang w:bidi="en-US"/>
        </w:rPr>
        <w:t>水资源的匮乏不仅制约了泰山区的经济社会发展，也给泰山区的生态环境带来了巨大的破坏力。另外，水资源配置与产业发展不协调，典型资源型缺水城市对外调水依赖程度高，应急供水保障能力不足。</w:t>
      </w:r>
      <w:r>
        <w:rPr>
          <w:highlight w:val="none"/>
        </w:rPr>
        <w:t>节水能力不够高，</w:t>
      </w:r>
      <w:r>
        <w:rPr>
          <w:highlight w:val="none"/>
          <w:lang w:bidi="en-US"/>
        </w:rPr>
        <w:t>北部山区、南部沿汶河平原区水资源调配工程网络尚未建成，水资源供给结构性矛盾突出，节水水平有待提升。</w:t>
      </w:r>
    </w:p>
    <w:bookmarkEnd w:id="97"/>
    <w:bookmarkEnd w:id="98"/>
    <w:bookmarkEnd w:id="99"/>
    <w:p>
      <w:pPr>
        <w:pStyle w:val="5"/>
        <w:numPr>
          <w:ilvl w:val="0"/>
          <w:numId w:val="4"/>
        </w:numPr>
        <w:spacing w:before="156" w:after="156"/>
        <w:ind w:left="1560"/>
        <w:rPr>
          <w:highlight w:val="none"/>
          <w:lang w:bidi="en-US"/>
        </w:rPr>
      </w:pPr>
      <w:r>
        <w:rPr>
          <w:rFonts w:hint="eastAsia"/>
          <w:highlight w:val="none"/>
          <w:lang w:bidi="en-US"/>
        </w:rPr>
        <w:t>生态环境保护与生态保护修复仍任重道远</w:t>
      </w:r>
    </w:p>
    <w:p>
      <w:pPr>
        <w:numPr>
          <w:ilvl w:val="255"/>
          <w:numId w:val="0"/>
        </w:numPr>
        <w:spacing w:line="240" w:lineRule="auto"/>
        <w:ind w:firstLine="560"/>
        <w:rPr>
          <w:rFonts w:cs="Times New Roman"/>
          <w:highlight w:val="none"/>
          <w:lang w:bidi="en-US"/>
        </w:rPr>
      </w:pPr>
      <w:r>
        <w:rPr>
          <w:rFonts w:hint="eastAsia" w:cs="Times New Roman"/>
          <w:highlight w:val="none"/>
        </w:rPr>
        <w:t>泰山区综合实力提升处于爬坡阶段，虽然近年来在经济发展过程中高度重视生态保护，环境改善取得积极成效，但生态环境保护结构性、根源性、趋势性压力尚未根本缓解，生态文明建设仍处于压力叠加、负重前行的关键期。随着产业发展步伐的加快，人口和污染物排放的逐年增加，泰山区节能减排、减污降碳、水气污染防控、土地退化、环境风险压力还将持续增大。资源能源利用效率有待提升提高，环境质量持续改善任重道远，优质生态产品供给能力仍有不足。</w:t>
      </w:r>
      <w:r>
        <w:rPr>
          <w:rFonts w:hint="eastAsia" w:cs="Times New Roman"/>
          <w:highlight w:val="none"/>
          <w:lang w:bidi="en-US"/>
        </w:rPr>
        <w:t>生态保护与修复工程建设实施难度逐渐增大。</w:t>
      </w:r>
    </w:p>
    <w:p>
      <w:pPr>
        <w:pStyle w:val="39"/>
        <w:rPr>
          <w:rFonts w:hint="default" w:ascii="Times New Roman" w:hAnsi="Times New Roman"/>
          <w:color w:val="auto"/>
          <w:szCs w:val="21"/>
          <w:highlight w:val="none"/>
          <w:lang w:bidi="en-US"/>
        </w:rPr>
      </w:pPr>
    </w:p>
    <w:p>
      <w:pPr>
        <w:pStyle w:val="39"/>
        <w:rPr>
          <w:rFonts w:hint="default" w:ascii="Times New Roman" w:hAnsi="Times New Roman"/>
          <w:color w:val="auto"/>
          <w:szCs w:val="21"/>
          <w:highlight w:val="none"/>
          <w:lang w:bidi="en-US"/>
        </w:rPr>
      </w:pPr>
    </w:p>
    <w:p>
      <w:pPr>
        <w:pStyle w:val="39"/>
        <w:rPr>
          <w:rFonts w:hint="default" w:ascii="Times New Roman" w:hAnsi="Times New Roman"/>
          <w:color w:val="auto"/>
          <w:szCs w:val="21"/>
          <w:highlight w:val="none"/>
          <w:lang w:bidi="en-US"/>
        </w:rPr>
      </w:pPr>
    </w:p>
    <w:p>
      <w:pPr>
        <w:ind w:firstLine="560"/>
        <w:rPr>
          <w:rFonts w:cs="Times New Roman"/>
          <w:highlight w:val="none"/>
          <w:lang w:bidi="en-US"/>
        </w:rPr>
      </w:pPr>
      <w:r>
        <w:rPr>
          <w:rFonts w:hint="eastAsia" w:cs="Times New Roman"/>
          <w:highlight w:val="none"/>
          <w:lang w:bidi="en-US"/>
        </w:rPr>
        <w:br w:type="page"/>
      </w:r>
    </w:p>
    <w:p>
      <w:pPr>
        <w:pStyle w:val="2"/>
        <w:rPr>
          <w:highlight w:val="none"/>
        </w:rPr>
      </w:pPr>
      <w:bookmarkStart w:id="100" w:name="_Toc23065"/>
      <w:bookmarkStart w:id="101" w:name="_Toc20847"/>
      <w:bookmarkStart w:id="102" w:name="_Toc143041422"/>
      <w:bookmarkStart w:id="103" w:name="_Toc22376"/>
      <w:bookmarkStart w:id="104" w:name="_Toc25769"/>
      <w:bookmarkStart w:id="105" w:name="_Toc30639"/>
      <w:r>
        <w:rPr>
          <w:rFonts w:hint="eastAsia"/>
          <w:highlight w:val="none"/>
        </w:rPr>
        <w:t>规划</w:t>
      </w:r>
      <w:bookmarkEnd w:id="100"/>
      <w:r>
        <w:rPr>
          <w:rFonts w:hint="eastAsia"/>
          <w:highlight w:val="none"/>
        </w:rPr>
        <w:t>总则</w:t>
      </w:r>
      <w:bookmarkEnd w:id="101"/>
      <w:bookmarkEnd w:id="102"/>
      <w:bookmarkEnd w:id="103"/>
      <w:bookmarkEnd w:id="104"/>
      <w:bookmarkEnd w:id="105"/>
    </w:p>
    <w:p>
      <w:pPr>
        <w:pStyle w:val="3"/>
        <w:rPr>
          <w:b/>
          <w:bCs w:val="0"/>
          <w:highlight w:val="none"/>
        </w:rPr>
      </w:pPr>
      <w:bookmarkStart w:id="106" w:name="_Toc143041423"/>
      <w:bookmarkStart w:id="107" w:name="_Toc14484"/>
      <w:bookmarkStart w:id="108" w:name="_Toc29713"/>
      <w:bookmarkStart w:id="109" w:name="_Toc15483"/>
      <w:bookmarkStart w:id="110" w:name="_Toc29910"/>
      <w:bookmarkStart w:id="111" w:name="_Toc17796"/>
      <w:r>
        <w:rPr>
          <w:rFonts w:hint="eastAsia"/>
          <w:b/>
          <w:bCs w:val="0"/>
          <w:highlight w:val="none"/>
        </w:rPr>
        <w:t>指导</w:t>
      </w:r>
      <w:r>
        <w:rPr>
          <w:b/>
          <w:bCs w:val="0"/>
          <w:highlight w:val="none"/>
        </w:rPr>
        <w:t>思想</w:t>
      </w:r>
      <w:bookmarkEnd w:id="106"/>
      <w:bookmarkEnd w:id="107"/>
      <w:bookmarkEnd w:id="108"/>
      <w:bookmarkEnd w:id="109"/>
      <w:bookmarkEnd w:id="110"/>
      <w:bookmarkEnd w:id="111"/>
    </w:p>
    <w:p>
      <w:pPr>
        <w:ind w:firstLine="560"/>
        <w:rPr>
          <w:rFonts w:cs="Times New Roman"/>
          <w:highlight w:val="none"/>
          <w:lang w:bidi="en-US"/>
        </w:rPr>
      </w:pPr>
      <w:bookmarkStart w:id="112" w:name="_Hlk27586486"/>
      <w:r>
        <w:rPr>
          <w:highlight w:val="none"/>
        </w:rPr>
        <w:t>以</w:t>
      </w:r>
      <w:r>
        <w:rPr>
          <w:rFonts w:hint="eastAsia" w:cs="Times New Roman"/>
          <w:highlight w:val="none"/>
          <w:lang w:bidi="en-US"/>
        </w:rPr>
        <w:t>习近平生态文明思想和习近平总书记视察山东重要讲话、重要指示批示精神为指导，</w:t>
      </w:r>
      <w:r>
        <w:rPr>
          <w:highlight w:val="none"/>
        </w:rPr>
        <w:t>全面贯彻党的十九大、二十大和十九届历次全会精神，</w:t>
      </w:r>
      <w:r>
        <w:rPr>
          <w:rFonts w:hint="eastAsia" w:cs="Times New Roman"/>
          <w:highlight w:val="none"/>
          <w:lang w:bidi="en-US"/>
        </w:rPr>
        <w:t>牢记“走在前、开新局”“登高望远、奋力争先”嘱托，坚持创新、协调、绿色、开放、共享的新发展理念，抢抓黄河重大国家战略和全省建设绿色低碳高质量发展先行区机遇，以协同推动生态环境高水平保护和经济社会高质量发展为主线，以减污降碳协同增效为总抓手，以满足人民日益增长的美好生活需要为根本目的，坚持生产、生活、生态“三生”并举，生态自然化、经济低碳化、生活绿色化、意识文明化和制度严密化“五化”同步，实施“产业强区、科创强区、文化强区、生态强区”四区共建，勇做新时代泰山“挑山工”，推动宜居宜业宜游的新时代现代化强区建设，谱写“和美泰山”</w:t>
      </w:r>
      <w:r>
        <w:rPr>
          <w:szCs w:val="30"/>
          <w:highlight w:val="none"/>
        </w:rPr>
        <w:t>生态文明建设新篇章</w:t>
      </w:r>
      <w:r>
        <w:rPr>
          <w:rFonts w:hint="eastAsia" w:cs="Times New Roman"/>
          <w:highlight w:val="none"/>
          <w:lang w:bidi="en-US"/>
        </w:rPr>
        <w:t>。</w:t>
      </w:r>
      <w:bookmarkEnd w:id="112"/>
    </w:p>
    <w:p>
      <w:pPr>
        <w:pStyle w:val="3"/>
        <w:rPr>
          <w:b/>
          <w:bCs w:val="0"/>
          <w:highlight w:val="none"/>
        </w:rPr>
      </w:pPr>
      <w:bookmarkStart w:id="113" w:name="_Toc142605806"/>
      <w:bookmarkEnd w:id="113"/>
      <w:bookmarkStart w:id="114" w:name="_Toc142605805"/>
      <w:bookmarkEnd w:id="114"/>
      <w:bookmarkStart w:id="115" w:name="_Toc17391"/>
      <w:bookmarkStart w:id="116" w:name="_Toc143041424"/>
      <w:bookmarkStart w:id="117" w:name="_Toc31301"/>
      <w:bookmarkStart w:id="118" w:name="_Toc11840"/>
      <w:bookmarkStart w:id="119" w:name="_Toc23644"/>
      <w:bookmarkStart w:id="120" w:name="_Toc11556"/>
      <w:r>
        <w:rPr>
          <w:rFonts w:hint="eastAsia"/>
          <w:b/>
          <w:bCs w:val="0"/>
          <w:highlight w:val="none"/>
        </w:rPr>
        <w:t>基本</w:t>
      </w:r>
      <w:r>
        <w:rPr>
          <w:b/>
          <w:bCs w:val="0"/>
          <w:highlight w:val="none"/>
        </w:rPr>
        <w:t>原则</w:t>
      </w:r>
      <w:bookmarkEnd w:id="115"/>
      <w:bookmarkEnd w:id="116"/>
      <w:bookmarkEnd w:id="117"/>
      <w:bookmarkEnd w:id="118"/>
      <w:bookmarkEnd w:id="119"/>
      <w:bookmarkEnd w:id="120"/>
    </w:p>
    <w:p>
      <w:pPr>
        <w:ind w:firstLine="562"/>
        <w:rPr>
          <w:szCs w:val="30"/>
          <w:highlight w:val="none"/>
        </w:rPr>
      </w:pPr>
      <w:bookmarkStart w:id="121" w:name="_Hlk137731165"/>
      <w:r>
        <w:rPr>
          <w:rFonts w:hint="eastAsia" w:ascii="楷体_GB2312" w:hAnsi="楷体_GB2312" w:eastAsia="楷体_GB2312" w:cs="楷体_GB2312"/>
          <w:b/>
          <w:bCs/>
          <w:szCs w:val="30"/>
          <w:highlight w:val="none"/>
          <w:lang w:val="zh-CN"/>
        </w:rPr>
        <w:t>生态为基，绿色发展。</w:t>
      </w:r>
      <w:r>
        <w:rPr>
          <w:szCs w:val="30"/>
          <w:highlight w:val="none"/>
          <w:lang w:val="zh-CN"/>
        </w:rPr>
        <w:t>坚持生态保护优先，严守生态保护红线，统筹推进山水林田湖草系统保护与修复，</w:t>
      </w:r>
      <w:r>
        <w:rPr>
          <w:szCs w:val="30"/>
          <w:highlight w:val="none"/>
        </w:rPr>
        <w:t>持续深入强化</w:t>
      </w:r>
      <w:r>
        <w:rPr>
          <w:rFonts w:hint="eastAsia"/>
          <w:szCs w:val="30"/>
          <w:highlight w:val="none"/>
        </w:rPr>
        <w:t>大气、水、土壤</w:t>
      </w:r>
      <w:r>
        <w:rPr>
          <w:szCs w:val="30"/>
          <w:highlight w:val="none"/>
        </w:rPr>
        <w:t>污染防治，推进资源全面节约和循环利用，优化国土空间格局，推动绿色高质量发展，促进人与自然和谐共生</w:t>
      </w:r>
      <w:r>
        <w:rPr>
          <w:szCs w:val="30"/>
          <w:highlight w:val="none"/>
          <w:lang w:val="zh-CN"/>
        </w:rPr>
        <w:t>。</w:t>
      </w:r>
    </w:p>
    <w:p>
      <w:pPr>
        <w:ind w:firstLine="562"/>
        <w:rPr>
          <w:szCs w:val="30"/>
          <w:highlight w:val="none"/>
          <w:lang w:val="zh-CN"/>
        </w:rPr>
      </w:pPr>
      <w:r>
        <w:rPr>
          <w:rFonts w:hint="eastAsia" w:ascii="楷体_GB2312" w:hAnsi="楷体_GB2312" w:eastAsia="楷体_GB2312" w:cs="楷体_GB2312"/>
          <w:b/>
          <w:bCs/>
          <w:szCs w:val="30"/>
          <w:highlight w:val="none"/>
          <w:lang w:val="zh-CN"/>
        </w:rPr>
        <w:t>以人为本，共建共享。</w:t>
      </w:r>
      <w:r>
        <w:rPr>
          <w:szCs w:val="30"/>
          <w:highlight w:val="none"/>
          <w:lang w:val="zh-CN"/>
        </w:rPr>
        <w:t>把增进人民福祉、以人为本作为生态文明建设的出发点和落脚点，努力提供更多优质生态产品，最大限度满足人民群众对良好生态环境的热切期盼和对美好生活的向往，让人民群众共享</w:t>
      </w:r>
      <w:r>
        <w:rPr>
          <w:szCs w:val="30"/>
          <w:highlight w:val="none"/>
        </w:rPr>
        <w:t>生态文明</w:t>
      </w:r>
      <w:r>
        <w:rPr>
          <w:szCs w:val="30"/>
          <w:highlight w:val="none"/>
          <w:lang w:val="zh-CN"/>
        </w:rPr>
        <w:t>建设成果。</w:t>
      </w:r>
    </w:p>
    <w:p>
      <w:pPr>
        <w:ind w:firstLine="562"/>
        <w:rPr>
          <w:szCs w:val="30"/>
          <w:highlight w:val="none"/>
        </w:rPr>
      </w:pPr>
      <w:r>
        <w:rPr>
          <w:rFonts w:hint="eastAsia" w:ascii="楷体_GB2312" w:hAnsi="楷体_GB2312" w:eastAsia="楷体_GB2312" w:cs="楷体_GB2312"/>
          <w:b/>
          <w:bCs/>
          <w:szCs w:val="30"/>
          <w:highlight w:val="none"/>
          <w:lang w:val="zh-CN"/>
        </w:rPr>
        <w:t>彰显特色，创新引领。</w:t>
      </w:r>
      <w:r>
        <w:rPr>
          <w:szCs w:val="30"/>
          <w:highlight w:val="none"/>
          <w:lang w:val="zh-CN"/>
        </w:rPr>
        <w:t>充分发挥</w:t>
      </w:r>
      <w:r>
        <w:rPr>
          <w:rFonts w:hint="eastAsia"/>
          <w:szCs w:val="30"/>
          <w:highlight w:val="none"/>
        </w:rPr>
        <w:t>泰山汶水</w:t>
      </w:r>
      <w:r>
        <w:rPr>
          <w:szCs w:val="30"/>
          <w:highlight w:val="none"/>
          <w:lang w:val="zh-CN"/>
        </w:rPr>
        <w:t>得天独厚的</w:t>
      </w:r>
      <w:r>
        <w:rPr>
          <w:rFonts w:hint="eastAsia"/>
          <w:szCs w:val="30"/>
          <w:highlight w:val="none"/>
        </w:rPr>
        <w:t>生态禀赋和</w:t>
      </w:r>
      <w:r>
        <w:rPr>
          <w:szCs w:val="30"/>
          <w:highlight w:val="none"/>
          <w:lang w:val="zh-CN"/>
        </w:rPr>
        <w:t>旅游资源优势，</w:t>
      </w:r>
      <w:r>
        <w:rPr>
          <w:szCs w:val="30"/>
          <w:highlight w:val="none"/>
        </w:rPr>
        <w:t>深度挖掘</w:t>
      </w:r>
      <w:r>
        <w:rPr>
          <w:rFonts w:hint="eastAsia"/>
          <w:szCs w:val="30"/>
          <w:highlight w:val="none"/>
        </w:rPr>
        <w:t>泰山</w:t>
      </w:r>
      <w:r>
        <w:rPr>
          <w:szCs w:val="30"/>
          <w:highlight w:val="none"/>
        </w:rPr>
        <w:t>历史文化，</w:t>
      </w:r>
      <w:r>
        <w:rPr>
          <w:rFonts w:hint="eastAsia"/>
          <w:szCs w:val="30"/>
          <w:highlight w:val="none"/>
        </w:rPr>
        <w:t>当好工业产业“路由器”</w:t>
      </w:r>
      <w:r>
        <w:rPr>
          <w:szCs w:val="30"/>
          <w:highlight w:val="none"/>
          <w:lang w:val="zh-CN"/>
        </w:rPr>
        <w:t>，创新引领</w:t>
      </w:r>
      <w:r>
        <w:rPr>
          <w:szCs w:val="30"/>
          <w:highlight w:val="none"/>
        </w:rPr>
        <w:t>产业转型升级，</w:t>
      </w:r>
      <w:r>
        <w:rPr>
          <w:rFonts w:hint="eastAsia"/>
          <w:szCs w:val="30"/>
          <w:highlight w:val="none"/>
        </w:rPr>
        <w:t>赋能驱动新兴产业集约增效，</w:t>
      </w:r>
      <w:r>
        <w:rPr>
          <w:szCs w:val="30"/>
          <w:highlight w:val="none"/>
          <w:lang w:val="zh-CN"/>
        </w:rPr>
        <w:t>提升区域经济社会发展综合竞争力。</w:t>
      </w:r>
    </w:p>
    <w:p>
      <w:pPr>
        <w:ind w:firstLine="562"/>
        <w:rPr>
          <w:szCs w:val="30"/>
          <w:highlight w:val="none"/>
          <w:lang w:val="zh-CN"/>
        </w:rPr>
      </w:pPr>
      <w:r>
        <w:rPr>
          <w:rFonts w:hint="eastAsia" w:ascii="楷体_GB2312" w:hAnsi="楷体_GB2312" w:eastAsia="楷体_GB2312" w:cs="楷体_GB2312"/>
          <w:b/>
          <w:bCs/>
          <w:szCs w:val="30"/>
          <w:highlight w:val="none"/>
          <w:lang w:val="zh-CN"/>
        </w:rPr>
        <w:t>党政主导，协同联动。</w:t>
      </w:r>
      <w:r>
        <w:rPr>
          <w:szCs w:val="30"/>
          <w:highlight w:val="none"/>
          <w:lang w:val="zh-CN"/>
        </w:rPr>
        <w:t>把生态文明建设放到更加突出的位置，</w:t>
      </w:r>
      <w:r>
        <w:rPr>
          <w:szCs w:val="30"/>
          <w:highlight w:val="none"/>
        </w:rPr>
        <w:t>纳入</w:t>
      </w:r>
      <w:r>
        <w:rPr>
          <w:szCs w:val="30"/>
          <w:highlight w:val="none"/>
          <w:lang w:val="zh-CN"/>
        </w:rPr>
        <w:t>各级党委政府的重要议事日程，切实发挥组织领导、规划引领、资金引导作用。加强</w:t>
      </w:r>
      <w:r>
        <w:rPr>
          <w:szCs w:val="30"/>
          <w:highlight w:val="none"/>
        </w:rPr>
        <w:t>部门协作，</w:t>
      </w:r>
      <w:r>
        <w:rPr>
          <w:szCs w:val="30"/>
          <w:highlight w:val="none"/>
          <w:lang w:val="zh-CN"/>
        </w:rPr>
        <w:t>着力强化企业生态</w:t>
      </w:r>
      <w:r>
        <w:rPr>
          <w:szCs w:val="30"/>
          <w:highlight w:val="none"/>
        </w:rPr>
        <w:t>保护</w:t>
      </w:r>
      <w:r>
        <w:rPr>
          <w:szCs w:val="30"/>
          <w:highlight w:val="none"/>
          <w:lang w:val="zh-CN"/>
        </w:rPr>
        <w:t>意识和社会责任意识，凝聚合力，</w:t>
      </w:r>
      <w:bookmarkEnd w:id="121"/>
      <w:r>
        <w:rPr>
          <w:rFonts w:hint="eastAsia"/>
          <w:szCs w:val="30"/>
          <w:highlight w:val="none"/>
          <w:lang w:val="zh-CN"/>
        </w:rPr>
        <w:t>促进生态文明建设工作整体推进</w:t>
      </w:r>
      <w:r>
        <w:rPr>
          <w:szCs w:val="30"/>
          <w:highlight w:val="none"/>
          <w:lang w:val="zh-CN"/>
        </w:rPr>
        <w:t>。</w:t>
      </w:r>
    </w:p>
    <w:p>
      <w:pPr>
        <w:pStyle w:val="3"/>
        <w:rPr>
          <w:b/>
          <w:bCs w:val="0"/>
          <w:highlight w:val="none"/>
        </w:rPr>
      </w:pPr>
      <w:bookmarkStart w:id="122" w:name="_Toc3537"/>
      <w:bookmarkStart w:id="123" w:name="_Toc17827"/>
      <w:bookmarkStart w:id="124" w:name="_Toc16810"/>
      <w:bookmarkStart w:id="125" w:name="_Toc3313"/>
      <w:bookmarkStart w:id="126" w:name="_Toc31941"/>
      <w:bookmarkStart w:id="127" w:name="_Toc143041425"/>
      <w:r>
        <w:rPr>
          <w:rFonts w:hint="eastAsia"/>
          <w:b/>
          <w:bCs w:val="0"/>
          <w:highlight w:val="none"/>
        </w:rPr>
        <w:t>规划范围</w:t>
      </w:r>
      <w:bookmarkEnd w:id="122"/>
      <w:bookmarkEnd w:id="123"/>
      <w:bookmarkEnd w:id="124"/>
      <w:bookmarkEnd w:id="125"/>
      <w:bookmarkEnd w:id="126"/>
      <w:bookmarkEnd w:id="127"/>
    </w:p>
    <w:p>
      <w:pPr>
        <w:ind w:firstLine="560"/>
        <w:rPr>
          <w:highlight w:val="none"/>
        </w:rPr>
      </w:pPr>
      <w:r>
        <w:rPr>
          <w:highlight w:val="none"/>
        </w:rPr>
        <w:t>规划范围</w:t>
      </w:r>
      <w:r>
        <w:rPr>
          <w:rFonts w:hint="eastAsia"/>
          <w:highlight w:val="none"/>
        </w:rPr>
        <w:t>为泰山</w:t>
      </w:r>
      <w:r>
        <w:rPr>
          <w:highlight w:val="none"/>
        </w:rPr>
        <w:t>区，总面积</w:t>
      </w:r>
      <w:r>
        <w:rPr>
          <w:rFonts w:hint="eastAsia"/>
          <w:highlight w:val="none"/>
        </w:rPr>
        <w:t>336.98平方公里</w:t>
      </w:r>
      <w:r>
        <w:rPr>
          <w:highlight w:val="none"/>
        </w:rPr>
        <w:t>。包括5</w:t>
      </w:r>
      <w:r>
        <w:rPr>
          <w:rFonts w:hint="eastAsia"/>
          <w:highlight w:val="none"/>
        </w:rPr>
        <w:t>个街道</w:t>
      </w:r>
      <w:r>
        <w:rPr>
          <w:highlight w:val="none"/>
        </w:rPr>
        <w:t>、3个</w:t>
      </w:r>
      <w:r>
        <w:rPr>
          <w:rFonts w:hint="eastAsia"/>
          <w:highlight w:val="none"/>
        </w:rPr>
        <w:t>乡镇</w:t>
      </w:r>
      <w:r>
        <w:rPr>
          <w:highlight w:val="none"/>
        </w:rPr>
        <w:t>，即</w:t>
      </w:r>
      <w:r>
        <w:rPr>
          <w:rFonts w:hint="eastAsia"/>
          <w:highlight w:val="none"/>
        </w:rPr>
        <w:t>岱庙、财源、泰前、上高、徐家楼</w:t>
      </w:r>
      <w:r>
        <w:rPr>
          <w:highlight w:val="none"/>
        </w:rPr>
        <w:t>5</w:t>
      </w:r>
      <w:r>
        <w:rPr>
          <w:rFonts w:hint="eastAsia"/>
          <w:highlight w:val="none"/>
        </w:rPr>
        <w:t>个街道，省庄、邱家店、大津口</w:t>
      </w:r>
      <w:r>
        <w:rPr>
          <w:highlight w:val="none"/>
        </w:rPr>
        <w:t>3</w:t>
      </w:r>
      <w:r>
        <w:rPr>
          <w:rFonts w:hint="eastAsia"/>
          <w:highlight w:val="none"/>
        </w:rPr>
        <w:t>个乡镇</w:t>
      </w:r>
      <w:r>
        <w:rPr>
          <w:highlight w:val="none"/>
        </w:rPr>
        <w:t>。</w:t>
      </w:r>
    </w:p>
    <w:p>
      <w:pPr>
        <w:pStyle w:val="3"/>
        <w:rPr>
          <w:b/>
          <w:bCs w:val="0"/>
          <w:highlight w:val="none"/>
        </w:rPr>
      </w:pPr>
      <w:bookmarkStart w:id="128" w:name="_Toc21279"/>
      <w:bookmarkStart w:id="129" w:name="_Toc30609"/>
      <w:bookmarkStart w:id="130" w:name="_Toc7399"/>
      <w:bookmarkStart w:id="131" w:name="_Toc143041426"/>
      <w:bookmarkStart w:id="132" w:name="_Toc29136"/>
      <w:bookmarkStart w:id="133" w:name="_Toc32073"/>
      <w:r>
        <w:rPr>
          <w:rFonts w:hint="eastAsia"/>
          <w:b/>
          <w:bCs w:val="0"/>
          <w:highlight w:val="none"/>
        </w:rPr>
        <w:t>规划时限</w:t>
      </w:r>
      <w:bookmarkEnd w:id="128"/>
      <w:bookmarkEnd w:id="129"/>
      <w:bookmarkEnd w:id="130"/>
      <w:bookmarkEnd w:id="131"/>
      <w:bookmarkEnd w:id="132"/>
      <w:bookmarkEnd w:id="133"/>
    </w:p>
    <w:p>
      <w:pPr>
        <w:ind w:firstLine="560"/>
        <w:rPr>
          <w:highlight w:val="none"/>
        </w:rPr>
      </w:pPr>
      <w:r>
        <w:rPr>
          <w:highlight w:val="none"/>
        </w:rPr>
        <w:t>规划基准年为2022年，规划期限为2023-2030年</w:t>
      </w:r>
      <w:r>
        <w:rPr>
          <w:rFonts w:hint="eastAsia"/>
          <w:highlight w:val="none"/>
        </w:rPr>
        <w:t>：</w:t>
      </w:r>
    </w:p>
    <w:p>
      <w:pPr>
        <w:ind w:firstLine="560"/>
        <w:rPr>
          <w:highlight w:val="none"/>
        </w:rPr>
      </w:pPr>
      <w:r>
        <w:rPr>
          <w:highlight w:val="none"/>
        </w:rPr>
        <w:t>规划近期：2023-2025年，为全面启动和重点攻关阶段</w:t>
      </w:r>
      <w:r>
        <w:rPr>
          <w:rFonts w:hint="eastAsia"/>
          <w:highlight w:val="none"/>
        </w:rPr>
        <w:t>；</w:t>
      </w:r>
    </w:p>
    <w:p>
      <w:pPr>
        <w:ind w:firstLine="560"/>
        <w:rPr>
          <w:highlight w:val="none"/>
        </w:rPr>
      </w:pPr>
      <w:r>
        <w:rPr>
          <w:highlight w:val="none"/>
        </w:rPr>
        <w:t>规划</w:t>
      </w:r>
      <w:r>
        <w:rPr>
          <w:rFonts w:hint="eastAsia"/>
          <w:highlight w:val="none"/>
        </w:rPr>
        <w:t>中</w:t>
      </w:r>
      <w:r>
        <w:rPr>
          <w:highlight w:val="none"/>
        </w:rPr>
        <w:t>远期：2026-2030年，为巩固提升和深化拓展阶段。</w:t>
      </w:r>
    </w:p>
    <w:p>
      <w:pPr>
        <w:pStyle w:val="3"/>
        <w:rPr>
          <w:b/>
          <w:bCs w:val="0"/>
          <w:highlight w:val="none"/>
        </w:rPr>
      </w:pPr>
      <w:bookmarkStart w:id="134" w:name="_Toc11511"/>
      <w:bookmarkStart w:id="135" w:name="_Toc6842"/>
      <w:bookmarkStart w:id="136" w:name="_Toc12912"/>
      <w:bookmarkStart w:id="137" w:name="_Toc28533"/>
      <w:bookmarkStart w:id="138" w:name="_Toc143041427"/>
      <w:bookmarkStart w:id="139" w:name="_Toc2930"/>
      <w:r>
        <w:rPr>
          <w:rFonts w:hint="eastAsia"/>
          <w:b/>
          <w:bCs w:val="0"/>
          <w:highlight w:val="none"/>
        </w:rPr>
        <w:t>规划目标</w:t>
      </w:r>
      <w:bookmarkEnd w:id="134"/>
      <w:bookmarkEnd w:id="135"/>
      <w:bookmarkEnd w:id="136"/>
      <w:bookmarkEnd w:id="137"/>
      <w:bookmarkEnd w:id="138"/>
      <w:bookmarkEnd w:id="139"/>
    </w:p>
    <w:p>
      <w:pPr>
        <w:spacing w:line="240" w:lineRule="auto"/>
        <w:ind w:firstLine="560"/>
        <w:jc w:val="left"/>
        <w:rPr>
          <w:highlight w:val="none"/>
          <w:lang w:val="zh-CN"/>
        </w:rPr>
      </w:pPr>
      <w:r>
        <w:rPr>
          <w:rFonts w:hint="eastAsia"/>
          <w:highlight w:val="none"/>
        </w:rPr>
        <w:t>以习近平生态文明思想为引领，</w:t>
      </w:r>
      <w:r>
        <w:rPr>
          <w:rFonts w:hint="eastAsia"/>
          <w:highlight w:val="none"/>
          <w:lang w:val="zh-CN"/>
        </w:rPr>
        <w:t>以</w:t>
      </w:r>
      <w:r>
        <w:rPr>
          <w:rFonts w:hint="eastAsia"/>
          <w:highlight w:val="none"/>
        </w:rPr>
        <w:t>泰山区</w:t>
      </w:r>
      <w:r>
        <w:rPr>
          <w:rFonts w:hint="eastAsia"/>
          <w:highlight w:val="none"/>
          <w:lang w:val="zh-CN"/>
        </w:rPr>
        <w:t>创建生态文明建设示范区为导向，围绕生态文明建设目标指标，</w:t>
      </w:r>
      <w:r>
        <w:rPr>
          <w:rFonts w:hint="eastAsia"/>
          <w:highlight w:val="none"/>
        </w:rPr>
        <w:t>完善</w:t>
      </w:r>
      <w:r>
        <w:rPr>
          <w:rFonts w:hint="eastAsia"/>
          <w:highlight w:val="none"/>
          <w:lang w:val="zh-CN"/>
        </w:rPr>
        <w:t>生态制度体系，生态文明建设有依可循；保障区域生态安全，优质生态产品供给能力</w:t>
      </w:r>
      <w:r>
        <w:rPr>
          <w:rFonts w:hint="eastAsia"/>
          <w:highlight w:val="none"/>
        </w:rPr>
        <w:t>得到</w:t>
      </w:r>
      <w:r>
        <w:rPr>
          <w:rFonts w:hint="eastAsia"/>
          <w:highlight w:val="none"/>
          <w:lang w:val="zh-CN"/>
        </w:rPr>
        <w:t>提升；推进绿色低碳产业</w:t>
      </w:r>
      <w:r>
        <w:rPr>
          <w:rFonts w:hint="eastAsia"/>
          <w:highlight w:val="none"/>
        </w:rPr>
        <w:t>链</w:t>
      </w:r>
      <w:r>
        <w:rPr>
          <w:rFonts w:hint="eastAsia"/>
          <w:highlight w:val="none"/>
          <w:lang w:val="zh-CN"/>
        </w:rPr>
        <w:t>延伸，高质量发展质效大幅提升；打造优美城乡人居环境，绿色生产生活方式</w:t>
      </w:r>
      <w:r>
        <w:rPr>
          <w:rFonts w:hint="eastAsia"/>
          <w:highlight w:val="none"/>
        </w:rPr>
        <w:t>普遍</w:t>
      </w:r>
      <w:r>
        <w:rPr>
          <w:rFonts w:hint="eastAsia"/>
          <w:highlight w:val="none"/>
          <w:lang w:val="zh-CN"/>
        </w:rPr>
        <w:t>推行；完善社会公共服务体系，社会治理现代化水平</w:t>
      </w:r>
      <w:r>
        <w:rPr>
          <w:rFonts w:hint="eastAsia"/>
          <w:highlight w:val="none"/>
        </w:rPr>
        <w:t>不断</w:t>
      </w:r>
      <w:r>
        <w:rPr>
          <w:rFonts w:hint="eastAsia"/>
          <w:highlight w:val="none"/>
          <w:lang w:val="zh-CN"/>
        </w:rPr>
        <w:t>提高；</w:t>
      </w:r>
      <w:r>
        <w:rPr>
          <w:rFonts w:hint="eastAsia"/>
          <w:highlight w:val="none"/>
        </w:rPr>
        <w:t>发扬泰山特色文化优势，</w:t>
      </w:r>
      <w:r>
        <w:rPr>
          <w:rFonts w:hint="eastAsia"/>
          <w:highlight w:val="none"/>
          <w:lang w:val="zh-CN"/>
        </w:rPr>
        <w:t>社会生态文明意识</w:t>
      </w:r>
      <w:r>
        <w:rPr>
          <w:rFonts w:hint="eastAsia"/>
          <w:highlight w:val="none"/>
        </w:rPr>
        <w:t>全面</w:t>
      </w:r>
      <w:r>
        <w:rPr>
          <w:rFonts w:hint="eastAsia"/>
          <w:highlight w:val="none"/>
          <w:lang w:val="zh-CN"/>
        </w:rPr>
        <w:t>培养；环境与经济、生态与社会协调发展，生态文明理念深入人心。</w:t>
      </w:r>
      <w:r>
        <w:rPr>
          <w:rFonts w:hint="eastAsia"/>
          <w:highlight w:val="none"/>
        </w:rPr>
        <w:t>力争规划期末使泰山区发展成为产业高地、科创名地、文旅胜地、康养福地、生态绿地。</w:t>
      </w:r>
      <w:r>
        <w:rPr>
          <w:rFonts w:hint="eastAsia"/>
          <w:highlight w:val="none"/>
          <w:lang w:val="zh-CN"/>
        </w:rPr>
        <w:t>为</w:t>
      </w:r>
      <w:r>
        <w:rPr>
          <w:rFonts w:hint="eastAsia"/>
          <w:highlight w:val="none"/>
        </w:rPr>
        <w:t>齐鲁大地及国内</w:t>
      </w:r>
      <w:r>
        <w:rPr>
          <w:rFonts w:hint="eastAsia"/>
          <w:highlight w:val="none"/>
          <w:lang w:val="zh-CN"/>
        </w:rPr>
        <w:t>同类地区生态文明建设提供可复制、可推广、可借鉴的样板。</w:t>
      </w:r>
    </w:p>
    <w:p>
      <w:pPr>
        <w:pStyle w:val="4"/>
        <w:spacing w:before="156"/>
        <w:ind w:left="480" w:hanging="49"/>
        <w:rPr>
          <w:highlight w:val="none"/>
        </w:rPr>
      </w:pPr>
      <w:r>
        <w:rPr>
          <w:rFonts w:hint="eastAsia"/>
          <w:highlight w:val="none"/>
        </w:rPr>
        <w:t>近期目标（</w:t>
      </w:r>
      <w:r>
        <w:rPr>
          <w:highlight w:val="none"/>
        </w:rPr>
        <w:t>2023</w:t>
      </w:r>
      <w:r>
        <w:rPr>
          <w:rFonts w:hint="eastAsia"/>
          <w:highlight w:val="none"/>
        </w:rPr>
        <w:t>-</w:t>
      </w:r>
      <w:r>
        <w:rPr>
          <w:highlight w:val="none"/>
        </w:rPr>
        <w:t>2025</w:t>
      </w:r>
      <w:r>
        <w:rPr>
          <w:rFonts w:hint="eastAsia"/>
          <w:highlight w:val="none"/>
        </w:rPr>
        <w:t>年）</w:t>
      </w:r>
    </w:p>
    <w:p>
      <w:pPr>
        <w:ind w:firstLine="560"/>
        <w:rPr>
          <w:highlight w:val="none"/>
        </w:rPr>
      </w:pPr>
      <w:r>
        <w:rPr>
          <w:highlight w:val="none"/>
          <w:lang w:val="zh-CN"/>
        </w:rPr>
        <w:t>全面部署</w:t>
      </w:r>
      <w:r>
        <w:rPr>
          <w:rFonts w:hint="eastAsia"/>
          <w:highlight w:val="none"/>
        </w:rPr>
        <w:t>泰山区</w:t>
      </w:r>
      <w:r>
        <w:rPr>
          <w:highlight w:val="none"/>
          <w:lang w:val="zh-CN"/>
        </w:rPr>
        <w:t>生态文明建设工作，实施生态文明建设重点工程。到2025年，</w:t>
      </w:r>
      <w:r>
        <w:rPr>
          <w:rFonts w:hint="eastAsia"/>
          <w:highlight w:val="none"/>
        </w:rPr>
        <w:t>生态文明体制机制基本健全，生态环境质量持续改善，生态空间得到有效管控，产业绿色低碳质效更优，资源利用效率不断提高，</w:t>
      </w:r>
      <w:r>
        <w:rPr>
          <w:highlight w:val="none"/>
          <w:lang w:val="zh-CN"/>
        </w:rPr>
        <w:t>城乡人居环境明显改善</w:t>
      </w:r>
      <w:r>
        <w:rPr>
          <w:rFonts w:hint="eastAsia"/>
          <w:highlight w:val="none"/>
        </w:rPr>
        <w:t>，生态文明观念意识全面普及，</w:t>
      </w:r>
      <w:r>
        <w:rPr>
          <w:highlight w:val="none"/>
          <w:lang w:val="zh-CN"/>
        </w:rPr>
        <w:t>生态文明建设各项指标</w:t>
      </w:r>
      <w:r>
        <w:rPr>
          <w:rFonts w:hint="eastAsia"/>
          <w:highlight w:val="none"/>
          <w:lang w:val="zh-CN"/>
        </w:rPr>
        <w:t>基本</w:t>
      </w:r>
      <w:r>
        <w:rPr>
          <w:rFonts w:hint="eastAsia"/>
          <w:highlight w:val="none"/>
        </w:rPr>
        <w:t>达到山东省生态文明建设示范区创建标准。</w:t>
      </w:r>
    </w:p>
    <w:p>
      <w:pPr>
        <w:pStyle w:val="4"/>
        <w:spacing w:before="156"/>
        <w:ind w:left="480" w:hanging="49"/>
        <w:rPr>
          <w:highlight w:val="none"/>
        </w:rPr>
      </w:pPr>
      <w:r>
        <w:rPr>
          <w:rFonts w:hint="eastAsia"/>
          <w:highlight w:val="none"/>
        </w:rPr>
        <w:t>中远期目标（</w:t>
      </w:r>
      <w:r>
        <w:rPr>
          <w:highlight w:val="none"/>
        </w:rPr>
        <w:t>2026</w:t>
      </w:r>
      <w:r>
        <w:rPr>
          <w:rFonts w:hint="eastAsia"/>
          <w:highlight w:val="none"/>
        </w:rPr>
        <w:t>-</w:t>
      </w:r>
      <w:r>
        <w:rPr>
          <w:highlight w:val="none"/>
        </w:rPr>
        <w:t>2030</w:t>
      </w:r>
      <w:r>
        <w:rPr>
          <w:rFonts w:hint="eastAsia"/>
          <w:highlight w:val="none"/>
        </w:rPr>
        <w:t>年）</w:t>
      </w:r>
    </w:p>
    <w:p>
      <w:pPr>
        <w:ind w:firstLine="560"/>
        <w:rPr>
          <w:highlight w:val="none"/>
        </w:rPr>
      </w:pPr>
      <w:r>
        <w:rPr>
          <w:highlight w:val="none"/>
          <w:lang w:val="zh-CN"/>
        </w:rPr>
        <w:t>到2030年，生态文明体制机制更加完善，</w:t>
      </w:r>
      <w:r>
        <w:rPr>
          <w:rFonts w:hint="eastAsia"/>
          <w:highlight w:val="none"/>
        </w:rPr>
        <w:t>生态涵养功能更加强化，生态环境质量稳定提升，生态安全屏障进一步巩固</w:t>
      </w:r>
      <w:r>
        <w:rPr>
          <w:highlight w:val="none"/>
          <w:lang w:val="zh-CN"/>
        </w:rPr>
        <w:t>；</w:t>
      </w:r>
      <w:r>
        <w:rPr>
          <w:rFonts w:hint="eastAsia"/>
          <w:highlight w:val="none"/>
          <w:lang w:val="zh-CN"/>
        </w:rPr>
        <w:t>经济社会事业稳中有进、进中提质</w:t>
      </w:r>
      <w:r>
        <w:rPr>
          <w:rFonts w:hint="eastAsia"/>
          <w:highlight w:val="none"/>
        </w:rPr>
        <w:t>，特色优势产业高质量发展；</w:t>
      </w:r>
      <w:r>
        <w:rPr>
          <w:rFonts w:hint="eastAsia"/>
          <w:highlight w:val="none"/>
          <w:lang w:val="zh-CN"/>
        </w:rPr>
        <w:t>全面扩大优质生态产品供给，</w:t>
      </w:r>
      <w:r>
        <w:rPr>
          <w:highlight w:val="none"/>
          <w:lang w:val="zh-CN"/>
        </w:rPr>
        <w:t>绿色生产生活方式广泛形成</w:t>
      </w:r>
      <w:r>
        <w:rPr>
          <w:rFonts w:hint="eastAsia"/>
          <w:highlight w:val="none"/>
          <w:lang w:val="zh-CN"/>
        </w:rPr>
        <w:t>，</w:t>
      </w:r>
      <w:r>
        <w:rPr>
          <w:rFonts w:hint="eastAsia"/>
          <w:highlight w:val="none"/>
        </w:rPr>
        <w:t>城乡人居品质实现新提升</w:t>
      </w:r>
      <w:r>
        <w:rPr>
          <w:highlight w:val="none"/>
          <w:lang w:val="zh-CN"/>
        </w:rPr>
        <w:t>；</w:t>
      </w:r>
      <w:r>
        <w:rPr>
          <w:rFonts w:hint="eastAsia"/>
          <w:highlight w:val="none"/>
        </w:rPr>
        <w:t>生态文化氛围浓厚，</w:t>
      </w:r>
      <w:r>
        <w:rPr>
          <w:highlight w:val="none"/>
          <w:lang w:val="zh-CN"/>
        </w:rPr>
        <w:t>生态文明建设理念深入人心</w:t>
      </w:r>
      <w:r>
        <w:rPr>
          <w:rFonts w:hint="eastAsia"/>
          <w:highlight w:val="none"/>
          <w:lang w:val="zh-CN"/>
        </w:rPr>
        <w:t>；</w:t>
      </w:r>
      <w:r>
        <w:rPr>
          <w:rFonts w:hint="eastAsia"/>
          <w:highlight w:val="none"/>
        </w:rPr>
        <w:t>生态文明建设示范区</w:t>
      </w:r>
      <w:commentRangeStart w:id="0"/>
      <w:r>
        <w:rPr>
          <w:rFonts w:hint="eastAsia"/>
          <w:highlight w:val="none"/>
        </w:rPr>
        <w:t>各项指标全面</w:t>
      </w:r>
      <w:r>
        <w:rPr>
          <w:rFonts w:hint="eastAsia"/>
          <w:highlight w:val="none"/>
          <w:lang w:eastAsia="zh-CN"/>
        </w:rPr>
        <w:t>达到</w:t>
      </w:r>
      <w:r>
        <w:rPr>
          <w:rFonts w:hint="eastAsia"/>
          <w:highlight w:val="none"/>
        </w:rPr>
        <w:t>国家考核标准</w:t>
      </w:r>
      <w:commentRangeEnd w:id="0"/>
      <w:r>
        <w:rPr>
          <w:rStyle w:val="37"/>
          <w:rFonts w:ascii="Calibri" w:hAnsi="Calibri" w:cs="宋体"/>
          <w:highlight w:val="none"/>
        </w:rPr>
        <w:commentReference w:id="0"/>
      </w:r>
      <w:r>
        <w:rPr>
          <w:rFonts w:hint="eastAsia"/>
          <w:highlight w:val="none"/>
        </w:rPr>
        <w:t>，</w:t>
      </w:r>
      <w:r>
        <w:rPr>
          <w:rFonts w:hint="eastAsia"/>
          <w:highlight w:val="none"/>
          <w:lang w:val="zh-CN"/>
        </w:rPr>
        <w:t>“</w:t>
      </w:r>
      <w:r>
        <w:rPr>
          <w:highlight w:val="none"/>
          <w:lang w:val="zh-CN"/>
        </w:rPr>
        <w:t>美丽</w:t>
      </w:r>
      <w:r>
        <w:rPr>
          <w:rFonts w:hint="eastAsia"/>
          <w:highlight w:val="none"/>
        </w:rPr>
        <w:t>泰山</w:t>
      </w:r>
      <w:r>
        <w:rPr>
          <w:rFonts w:hint="eastAsia"/>
          <w:highlight w:val="none"/>
          <w:lang w:val="zh-CN"/>
        </w:rPr>
        <w:t>”</w:t>
      </w:r>
      <w:r>
        <w:rPr>
          <w:highlight w:val="none"/>
          <w:lang w:val="zh-CN"/>
        </w:rPr>
        <w:t>目标基本</w:t>
      </w:r>
      <w:r>
        <w:rPr>
          <w:highlight w:val="none"/>
        </w:rPr>
        <w:t>实现</w:t>
      </w:r>
      <w:r>
        <w:rPr>
          <w:rFonts w:hint="eastAsia"/>
          <w:highlight w:val="none"/>
        </w:rPr>
        <w:t>。</w:t>
      </w:r>
    </w:p>
    <w:p>
      <w:pPr>
        <w:ind w:firstLine="560"/>
        <w:rPr>
          <w:highlight w:val="none"/>
        </w:rPr>
        <w:sectPr>
          <w:footerReference r:id="rId18" w:type="default"/>
          <w:pgSz w:w="11906" w:h="16838"/>
          <w:pgMar w:top="1440" w:right="1800" w:bottom="1440" w:left="1800" w:header="851" w:footer="992" w:gutter="0"/>
          <w:cols w:space="425" w:num="1"/>
          <w:docGrid w:type="lines" w:linePitch="312" w:charSpace="0"/>
        </w:sectPr>
      </w:pPr>
    </w:p>
    <w:p>
      <w:pPr>
        <w:pStyle w:val="3"/>
        <w:rPr>
          <w:b/>
          <w:bCs w:val="0"/>
          <w:highlight w:val="none"/>
        </w:rPr>
      </w:pPr>
      <w:bookmarkStart w:id="140" w:name="_Toc26379"/>
      <w:r>
        <w:rPr>
          <w:rFonts w:hint="eastAsia"/>
          <w:b/>
          <w:bCs w:val="0"/>
          <w:highlight w:val="none"/>
        </w:rPr>
        <w:t>建设指标</w:t>
      </w:r>
      <w:bookmarkEnd w:id="140"/>
    </w:p>
    <w:p>
      <w:pPr>
        <w:ind w:firstLine="560"/>
        <w:rPr>
          <w:highlight w:val="none"/>
        </w:rPr>
      </w:pPr>
      <w:r>
        <w:rPr>
          <w:rFonts w:hint="eastAsia"/>
          <w:highlight w:val="none"/>
        </w:rPr>
        <w:t>根据《山东省省级生态文明建设示范区管理规程》《山东省省级生态文明建设示范区指标》（鲁环发〔</w:t>
      </w:r>
      <w:r>
        <w:rPr>
          <w:highlight w:val="none"/>
        </w:rPr>
        <w:t>2020</w:t>
      </w:r>
      <w:r>
        <w:rPr>
          <w:rFonts w:hint="eastAsia"/>
          <w:highlight w:val="none"/>
        </w:rPr>
        <w:t>〕</w:t>
      </w:r>
      <w:r>
        <w:rPr>
          <w:highlight w:val="none"/>
        </w:rPr>
        <w:t>16</w:t>
      </w:r>
      <w:r>
        <w:rPr>
          <w:rFonts w:hint="eastAsia"/>
          <w:highlight w:val="none"/>
        </w:rPr>
        <w:t>号），泰山区共涉及</w:t>
      </w:r>
      <w:r>
        <w:rPr>
          <w:highlight w:val="none"/>
        </w:rPr>
        <w:t>34</w:t>
      </w:r>
      <w:r>
        <w:rPr>
          <w:rFonts w:hint="eastAsia"/>
          <w:highlight w:val="none"/>
        </w:rPr>
        <w:t>项建设指标，其中约束性指标</w:t>
      </w:r>
      <w:r>
        <w:rPr>
          <w:highlight w:val="none"/>
        </w:rPr>
        <w:t>20</w:t>
      </w:r>
      <w:r>
        <w:rPr>
          <w:rFonts w:hint="eastAsia"/>
          <w:highlight w:val="none"/>
        </w:rPr>
        <w:t>项，参考性指标</w:t>
      </w:r>
      <w:r>
        <w:rPr>
          <w:highlight w:val="none"/>
        </w:rPr>
        <w:t>14</w:t>
      </w:r>
      <w:r>
        <w:rPr>
          <w:rFonts w:hint="eastAsia"/>
          <w:highlight w:val="none"/>
        </w:rPr>
        <w:t>项。对照指标要求，泰山区所有指标均达标，达标情况见表3-1。</w:t>
      </w:r>
    </w:p>
    <w:p>
      <w:pPr>
        <w:snapToGrid w:val="0"/>
        <w:ind w:firstLine="560"/>
        <w:rPr>
          <w:highlight w:val="none"/>
        </w:rPr>
      </w:pPr>
      <w:r>
        <w:rPr>
          <w:rFonts w:hint="eastAsia"/>
          <w:highlight w:val="none"/>
        </w:rPr>
        <w:t>根据</w:t>
      </w:r>
      <w:r>
        <w:rPr>
          <w:rFonts w:hint="eastAsia"/>
          <w:highlight w:val="none"/>
          <w:lang w:val="zh-CN"/>
        </w:rPr>
        <w:t>《国家生态文明建设示范区管理规程》《生态文明建设示范区建设指标（修订版）》</w:t>
      </w:r>
      <w:r>
        <w:rPr>
          <w:rFonts w:hint="eastAsia"/>
          <w:highlight w:val="none"/>
        </w:rPr>
        <w:t>，泰山区共涉及35项建设指标，</w:t>
      </w:r>
      <w:r>
        <w:rPr>
          <w:rFonts w:hint="eastAsia"/>
          <w:highlight w:val="none"/>
          <w:lang w:val="zh-CN"/>
        </w:rPr>
        <w:t>其中约束性指标19项，参考性指标16项</w:t>
      </w:r>
      <w:r>
        <w:rPr>
          <w:rFonts w:hint="eastAsia"/>
          <w:highlight w:val="none"/>
        </w:rPr>
        <w:t>。对照指标要求，泰山区</w:t>
      </w:r>
      <w:r>
        <w:rPr>
          <w:rFonts w:hint="eastAsia"/>
          <w:highlight w:val="none"/>
          <w:lang w:val="zh-CN"/>
        </w:rPr>
        <w:t>有</w:t>
      </w:r>
      <w:r>
        <w:rPr>
          <w:rFonts w:hint="eastAsia"/>
          <w:highlight w:val="none"/>
        </w:rPr>
        <w:t>1</w:t>
      </w:r>
      <w:r>
        <w:rPr>
          <w:rFonts w:hint="eastAsia"/>
          <w:highlight w:val="none"/>
          <w:lang w:val="zh-CN"/>
        </w:rPr>
        <w:t>项未达标，为单位国内生产总值建设用地使用面积下降率，其余3</w:t>
      </w:r>
      <w:r>
        <w:rPr>
          <w:rFonts w:hint="eastAsia"/>
          <w:highlight w:val="none"/>
        </w:rPr>
        <w:t>4</w:t>
      </w:r>
      <w:r>
        <w:rPr>
          <w:rFonts w:hint="eastAsia"/>
          <w:highlight w:val="none"/>
          <w:lang w:val="zh-CN"/>
        </w:rPr>
        <w:t>项全部达标</w:t>
      </w:r>
      <w:r>
        <w:rPr>
          <w:rFonts w:hint="eastAsia"/>
          <w:highlight w:val="none"/>
        </w:rPr>
        <w:t>，达标情况见表3-2。</w:t>
      </w:r>
    </w:p>
    <w:p>
      <w:pPr>
        <w:pStyle w:val="82"/>
        <w:snapToGrid w:val="0"/>
        <w:spacing w:before="163" w:after="163" w:line="360" w:lineRule="auto"/>
        <w:rPr>
          <w:highlight w:val="none"/>
        </w:rPr>
      </w:pPr>
      <w:r>
        <w:rPr>
          <w:highlight w:val="none"/>
        </w:rPr>
        <w:t>表3-1 泰山区生态文明建设示范区指标（省</w:t>
      </w:r>
      <w:r>
        <w:rPr>
          <w:rFonts w:hint="eastAsia"/>
          <w:highlight w:val="none"/>
        </w:rPr>
        <w:t>级</w:t>
      </w:r>
      <w:r>
        <w:rPr>
          <w:highlight w:val="none"/>
        </w:rPr>
        <w:t>）</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018"/>
        <w:gridCol w:w="655"/>
        <w:gridCol w:w="2764"/>
        <w:gridCol w:w="661"/>
        <w:gridCol w:w="1398"/>
        <w:gridCol w:w="1108"/>
        <w:gridCol w:w="1528"/>
        <w:gridCol w:w="1528"/>
        <w:gridCol w:w="153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96"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sz w:val="21"/>
                <w:highlight w:val="none"/>
              </w:rPr>
            </w:pPr>
            <w:r>
              <w:rPr>
                <w:rFonts w:eastAsia="宋体" w:cs="Times New Roman"/>
                <w:b/>
                <w:bCs/>
                <w:kern w:val="0"/>
                <w:sz w:val="21"/>
                <w:highlight w:val="none"/>
                <w:lang w:bidi="ar"/>
              </w:rPr>
              <w:t>领域</w:t>
            </w:r>
          </w:p>
        </w:tc>
        <w:tc>
          <w:tcPr>
            <w:tcW w:w="359"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sz w:val="21"/>
                <w:highlight w:val="none"/>
              </w:rPr>
            </w:pPr>
            <w:r>
              <w:rPr>
                <w:rFonts w:eastAsia="宋体" w:cs="Times New Roman"/>
                <w:b/>
                <w:bCs/>
                <w:kern w:val="0"/>
                <w:sz w:val="21"/>
                <w:highlight w:val="none"/>
                <w:lang w:bidi="ar"/>
              </w:rPr>
              <w:t>任务</w:t>
            </w:r>
          </w:p>
        </w:tc>
        <w:tc>
          <w:tcPr>
            <w:tcW w:w="231"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sz w:val="21"/>
                <w:highlight w:val="none"/>
              </w:rPr>
            </w:pPr>
            <w:r>
              <w:rPr>
                <w:rFonts w:eastAsia="宋体" w:cs="Times New Roman"/>
                <w:b/>
                <w:bCs/>
                <w:kern w:val="0"/>
                <w:sz w:val="21"/>
                <w:highlight w:val="none"/>
                <w:lang w:bidi="ar"/>
              </w:rPr>
              <w:t>序号</w:t>
            </w:r>
          </w:p>
        </w:tc>
        <w:tc>
          <w:tcPr>
            <w:tcW w:w="975"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sz w:val="21"/>
                <w:highlight w:val="none"/>
              </w:rPr>
            </w:pPr>
            <w:r>
              <w:rPr>
                <w:rFonts w:eastAsia="宋体" w:cs="Times New Roman"/>
                <w:b/>
                <w:bCs/>
                <w:kern w:val="0"/>
                <w:sz w:val="21"/>
                <w:highlight w:val="none"/>
                <w:lang w:bidi="ar"/>
              </w:rPr>
              <w:t>指标名称</w:t>
            </w:r>
          </w:p>
        </w:tc>
        <w:tc>
          <w:tcPr>
            <w:tcW w:w="233"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sz w:val="21"/>
                <w:highlight w:val="none"/>
              </w:rPr>
            </w:pPr>
            <w:r>
              <w:rPr>
                <w:rFonts w:eastAsia="宋体" w:cs="Times New Roman"/>
                <w:b/>
                <w:bCs/>
                <w:kern w:val="0"/>
                <w:sz w:val="21"/>
                <w:highlight w:val="none"/>
                <w:lang w:bidi="ar"/>
              </w:rPr>
              <w:t>单位</w:t>
            </w:r>
          </w:p>
        </w:tc>
        <w:tc>
          <w:tcPr>
            <w:tcW w:w="493"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sz w:val="21"/>
                <w:highlight w:val="none"/>
              </w:rPr>
            </w:pPr>
            <w:r>
              <w:rPr>
                <w:rFonts w:eastAsia="宋体" w:cs="Times New Roman"/>
                <w:b/>
                <w:bCs/>
                <w:kern w:val="0"/>
                <w:sz w:val="21"/>
                <w:highlight w:val="none"/>
                <w:lang w:bidi="ar"/>
              </w:rPr>
              <w:t>指标值</w:t>
            </w:r>
          </w:p>
        </w:tc>
        <w:tc>
          <w:tcPr>
            <w:tcW w:w="391"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sz w:val="21"/>
                <w:highlight w:val="none"/>
              </w:rPr>
            </w:pPr>
            <w:r>
              <w:rPr>
                <w:rFonts w:eastAsia="宋体" w:cs="Times New Roman"/>
                <w:b/>
                <w:bCs/>
                <w:kern w:val="0"/>
                <w:sz w:val="21"/>
                <w:highlight w:val="none"/>
                <w:lang w:bidi="ar"/>
              </w:rPr>
              <w:t>指标属性</w:t>
            </w:r>
          </w:p>
        </w:tc>
        <w:tc>
          <w:tcPr>
            <w:tcW w:w="539"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kern w:val="0"/>
                <w:sz w:val="21"/>
                <w:highlight w:val="none"/>
                <w:lang w:bidi="ar"/>
              </w:rPr>
            </w:pPr>
            <w:r>
              <w:rPr>
                <w:rFonts w:eastAsia="宋体" w:cs="Times New Roman"/>
                <w:b/>
                <w:bCs/>
                <w:kern w:val="0"/>
                <w:sz w:val="21"/>
                <w:highlight w:val="none"/>
                <w:lang w:bidi="ar"/>
              </w:rPr>
              <w:t>2022年</w:t>
            </w:r>
          </w:p>
        </w:tc>
        <w:tc>
          <w:tcPr>
            <w:tcW w:w="539"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kern w:val="0"/>
                <w:sz w:val="21"/>
                <w:highlight w:val="none"/>
                <w:lang w:bidi="ar"/>
              </w:rPr>
            </w:pPr>
            <w:r>
              <w:rPr>
                <w:rFonts w:eastAsia="宋体" w:cs="Times New Roman"/>
                <w:b/>
                <w:bCs/>
                <w:kern w:val="0"/>
                <w:sz w:val="21"/>
                <w:highlight w:val="none"/>
                <w:lang w:bidi="ar"/>
              </w:rPr>
              <w:t>2025年</w:t>
            </w:r>
          </w:p>
        </w:tc>
        <w:tc>
          <w:tcPr>
            <w:tcW w:w="540"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kern w:val="0"/>
                <w:sz w:val="21"/>
                <w:highlight w:val="none"/>
                <w:lang w:bidi="ar"/>
              </w:rPr>
            </w:pPr>
            <w:r>
              <w:rPr>
                <w:rFonts w:eastAsia="宋体" w:cs="Times New Roman"/>
                <w:b/>
                <w:bCs/>
                <w:kern w:val="0"/>
                <w:sz w:val="21"/>
                <w:highlight w:val="none"/>
                <w:lang w:bidi="ar"/>
              </w:rPr>
              <w:t>2030年</w:t>
            </w:r>
          </w:p>
        </w:tc>
        <w:tc>
          <w:tcPr>
            <w:tcW w:w="400" w:type="pct"/>
            <w:shd w:val="clear" w:color="auto" w:fill="F1F1F1" w:themeFill="background1" w:themeFillShade="F2"/>
            <w:vAlign w:val="center"/>
          </w:tcPr>
          <w:p>
            <w:pPr>
              <w:widowControl/>
              <w:adjustRightInd w:val="0"/>
              <w:snapToGrid w:val="0"/>
              <w:spacing w:line="240" w:lineRule="atLeast"/>
              <w:ind w:firstLine="0" w:firstLineChars="0"/>
              <w:jc w:val="center"/>
              <w:textAlignment w:val="center"/>
              <w:rPr>
                <w:rFonts w:eastAsia="宋体" w:cs="Times New Roman"/>
                <w:b/>
                <w:bCs/>
                <w:kern w:val="0"/>
                <w:sz w:val="21"/>
                <w:highlight w:val="none"/>
                <w:lang w:bidi="ar"/>
              </w:rPr>
            </w:pPr>
            <w:r>
              <w:rPr>
                <w:rFonts w:eastAsia="宋体" w:cs="Times New Roman"/>
                <w:b/>
                <w:bCs/>
                <w:kern w:val="0"/>
                <w:sz w:val="21"/>
                <w:highlight w:val="none"/>
                <w:lang w:bidi="ar"/>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生态制度</w:t>
            </w:r>
          </w:p>
        </w:tc>
        <w:tc>
          <w:tcPr>
            <w:tcW w:w="359"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（一）</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目标责任体系与制度建设</w:t>
            </w: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生态文明建设规划</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制定实施</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制定实施</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实施</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实施</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2</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党委政府对生态文明建设重大目标任务部署情况</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有效开展</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有效开展</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有效开展</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有效开展</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3</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生态文明建设工作占党政实绩考核的比例</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≥20</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31.67</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w:t>
            </w:r>
            <w:r>
              <w:rPr>
                <w:rFonts w:hint="eastAsia" w:eastAsia="宋体" w:cs="Times New Roman"/>
                <w:kern w:val="0"/>
                <w:sz w:val="21"/>
                <w:highlight w:val="none"/>
                <w:lang w:bidi="ar"/>
              </w:rPr>
              <w:t>32</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w:t>
            </w:r>
            <w:r>
              <w:rPr>
                <w:rFonts w:hint="eastAsia" w:eastAsia="宋体" w:cs="Times New Roman"/>
                <w:kern w:val="0"/>
                <w:sz w:val="21"/>
                <w:highlight w:val="none"/>
                <w:lang w:bidi="ar"/>
              </w:rPr>
              <w:t>33</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4</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河长制</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全面实施</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全面实施</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全面实施</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全面实施</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5</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生态环境信息公开率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100</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6</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依法开展规划环境影响评价</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开展</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开展</w:t>
            </w:r>
          </w:p>
        </w:tc>
        <w:tc>
          <w:tcPr>
            <w:tcW w:w="539"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开展</w:t>
            </w:r>
          </w:p>
        </w:tc>
        <w:tc>
          <w:tcPr>
            <w:tcW w:w="540"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开展</w:t>
            </w:r>
          </w:p>
        </w:tc>
        <w:tc>
          <w:tcPr>
            <w:tcW w:w="400"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生态安全</w:t>
            </w:r>
          </w:p>
        </w:tc>
        <w:tc>
          <w:tcPr>
            <w:tcW w:w="359"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（二）</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生态环境质量改善</w:t>
            </w:r>
          </w:p>
        </w:tc>
        <w:tc>
          <w:tcPr>
            <w:tcW w:w="23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7</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环境空气质量</w:t>
            </w:r>
          </w:p>
        </w:tc>
        <w:tc>
          <w:tcPr>
            <w:tcW w:w="23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完成上级规定的改善目标：达到环境空气质量二级标准</w:t>
            </w:r>
          </w:p>
        </w:tc>
        <w:tc>
          <w:tcPr>
            <w:tcW w:w="39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p>
        </w:tc>
        <w:tc>
          <w:tcPr>
            <w:tcW w:w="540"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p>
        </w:tc>
        <w:tc>
          <w:tcPr>
            <w:tcW w:w="400"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优良天数比例</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完成上级规定的改善目标</w:t>
            </w:r>
          </w:p>
          <w:p>
            <w:pPr>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目标：65.3%；实际：70.1%</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lang w:bidi="ar"/>
              </w:rPr>
              <w:t>完成上级规定的改善目标：达到环境空气质量二级标准</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lang w:bidi="ar"/>
              </w:rPr>
              <w:t>完成上级规定的改善目标：达到环境空气质量二级标准</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PM</w:t>
            </w:r>
            <w:r>
              <w:rPr>
                <w:rFonts w:eastAsia="宋体" w:cs="Times New Roman"/>
                <w:sz w:val="21"/>
                <w:highlight w:val="none"/>
                <w:vertAlign w:val="subscript"/>
                <w:lang w:bidi="ar"/>
              </w:rPr>
              <w:t>2.5</w:t>
            </w:r>
            <w:r>
              <w:rPr>
                <w:rFonts w:eastAsia="宋体" w:cs="Times New Roman"/>
                <w:sz w:val="21"/>
                <w:highlight w:val="none"/>
                <w:lang w:bidi="ar"/>
              </w:rPr>
              <w:t>浓度下降幅度</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完成上级规定的改善目标</w:t>
            </w:r>
          </w:p>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目标：46微克/立方米；</w:t>
            </w:r>
          </w:p>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实际：39微克/立方米；</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下降：9.3%</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完成上级规定的改善目标：达到环境空气质量二级标准</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完成上级规定的改善目标：达到环境空气质量二级标准</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8</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水环境质量</w:t>
            </w:r>
          </w:p>
        </w:tc>
        <w:tc>
          <w:tcPr>
            <w:tcW w:w="23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完成上级规定的考核任务；保持稳定或持续改善</w:t>
            </w:r>
          </w:p>
        </w:tc>
        <w:tc>
          <w:tcPr>
            <w:tcW w:w="391" w:type="pct"/>
            <w:vMerge w:val="restart"/>
            <w:shd w:val="clear" w:color="auto" w:fill="auto"/>
            <w:vAlign w:val="center"/>
          </w:tcPr>
          <w:p>
            <w:pPr>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540" w:type="pct"/>
            <w:vAlign w:val="center"/>
          </w:tcPr>
          <w:p>
            <w:pPr>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400" w:type="pct"/>
            <w:vAlign w:val="center"/>
          </w:tcPr>
          <w:p>
            <w:pPr>
              <w:adjustRightInd w:val="0"/>
              <w:snapToGrid w:val="0"/>
              <w:spacing w:line="240" w:lineRule="atLeast"/>
              <w:ind w:firstLine="0" w:firstLineChars="0"/>
              <w:jc w:val="center"/>
              <w:textAlignment w:val="center"/>
              <w:rPr>
                <w:rFonts w:eastAsia="宋体" w:cs="Times New Roman"/>
                <w:kern w:val="0"/>
                <w:sz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地表水水质达到或优于Ⅲ类比例</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textAlignment w:val="center"/>
              <w:rPr>
                <w:rFonts w:eastAsia="宋体" w:cs="Times New Roman"/>
                <w:sz w:val="21"/>
                <w:highlight w:val="none"/>
              </w:rPr>
            </w:pP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完成上级规定的考核任务</w:t>
            </w:r>
          </w:p>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目标：0；</w:t>
            </w:r>
          </w:p>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实际：33.33%</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完成上级规定的考核任务；保持稳定或持续改善</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完成上级规定的考核任务；保持稳定或持续改善</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地表水劣V类水体比例</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完成上级规定的考核任务</w:t>
            </w:r>
          </w:p>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目标：0；</w:t>
            </w:r>
          </w:p>
          <w:p>
            <w:pPr>
              <w:widowControl/>
              <w:adjustRightInd w:val="0"/>
              <w:snapToGrid w:val="0"/>
              <w:spacing w:line="240" w:lineRule="atLeast"/>
              <w:ind w:firstLine="0" w:firstLineChars="0"/>
              <w:jc w:val="center"/>
              <w:rPr>
                <w:rFonts w:eastAsia="宋体" w:cs="Times New Roman"/>
                <w:sz w:val="21"/>
                <w:highlight w:val="none"/>
                <w:lang w:bidi="ar"/>
              </w:rPr>
            </w:pPr>
            <w:r>
              <w:rPr>
                <w:rFonts w:eastAsia="宋体" w:cs="Times New Roman"/>
                <w:sz w:val="21"/>
                <w:highlight w:val="none"/>
                <w:lang w:bidi="ar"/>
              </w:rPr>
              <w:t>实际：0</w:t>
            </w:r>
          </w:p>
        </w:tc>
        <w:tc>
          <w:tcPr>
            <w:tcW w:w="539"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完成上级规定的考核任务；保持稳定或持续改善</w:t>
            </w:r>
          </w:p>
        </w:tc>
        <w:tc>
          <w:tcPr>
            <w:tcW w:w="54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完成上级规定的考核任务；保持稳定或持续改善</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地下水水质达到或优于Ⅲ类比例提高幅度</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保持稳定或持续改善</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保持稳定或持续改善</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保持稳定或持续改善</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地下水劣V类水体比例下降幅度</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lang w:bidi="ar"/>
              </w:rPr>
              <w:t>无劣V类水体</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保持稳定或持续改善</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保持稳定或持续改善</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黑臭水体消除比例</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rPr>
              <w:t>100%</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保持稳定或持续改善</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保持稳定或持续改善</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（三）</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生态系统保护</w:t>
            </w: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9</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生态环境状况指数</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≥57</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61.54</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保持稳定</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保持稳定</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23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10</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林草覆盖率</w:t>
            </w:r>
          </w:p>
        </w:tc>
        <w:tc>
          <w:tcPr>
            <w:tcW w:w="23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p>
        </w:tc>
        <w:tc>
          <w:tcPr>
            <w:tcW w:w="400" w:type="pct"/>
            <w:vMerge w:val="restar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丘陵地区</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≥40</w:t>
            </w: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43.80</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44</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44</w:t>
            </w:r>
          </w:p>
        </w:tc>
        <w:tc>
          <w:tcPr>
            <w:tcW w:w="400" w:type="pct"/>
            <w:vMerge w:val="continue"/>
            <w:vAlign w:val="center"/>
          </w:tcPr>
          <w:p>
            <w:pPr>
              <w:adjustRightInd w:val="0"/>
              <w:snapToGrid w:val="0"/>
              <w:spacing w:line="240" w:lineRule="atLeast"/>
              <w:ind w:firstLine="0" w:firstLineChars="0"/>
              <w:jc w:val="center"/>
              <w:rPr>
                <w:rFonts w:eastAsia="宋体"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11</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生物多样性保护</w:t>
            </w:r>
          </w:p>
        </w:tc>
        <w:tc>
          <w:tcPr>
            <w:tcW w:w="233" w:type="pct"/>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国家重点保护野生动植物保护率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≥95</w:t>
            </w: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≥95</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≥95</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≥95</w:t>
            </w:r>
          </w:p>
        </w:tc>
        <w:tc>
          <w:tcPr>
            <w:tcW w:w="40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外来物种入侵</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有效遏制</w:t>
            </w: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有效遏制</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有效遏制</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有效遏制</w:t>
            </w:r>
          </w:p>
        </w:tc>
        <w:tc>
          <w:tcPr>
            <w:tcW w:w="40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特有性或指示性水生物种保持率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不降低</w:t>
            </w: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不降低</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不降低</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不降低</w:t>
            </w:r>
          </w:p>
        </w:tc>
        <w:tc>
          <w:tcPr>
            <w:tcW w:w="40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12</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海岸生态修复</w:t>
            </w:r>
          </w:p>
        </w:tc>
        <w:tc>
          <w:tcPr>
            <w:tcW w:w="233" w:type="pct"/>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完成上级管控目标</w:t>
            </w:r>
          </w:p>
        </w:tc>
        <w:tc>
          <w:tcPr>
            <w:tcW w:w="39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Merge w:val="restar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不涉及</w:t>
            </w:r>
          </w:p>
        </w:tc>
        <w:tc>
          <w:tcPr>
            <w:tcW w:w="539" w:type="pct"/>
            <w:vMerge w:val="restar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不涉及</w:t>
            </w:r>
          </w:p>
        </w:tc>
        <w:tc>
          <w:tcPr>
            <w:tcW w:w="540" w:type="pct"/>
            <w:vMerge w:val="restar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不涉及</w:t>
            </w:r>
          </w:p>
        </w:tc>
        <w:tc>
          <w:tcPr>
            <w:tcW w:w="400" w:type="pct"/>
            <w:vMerge w:val="restar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自然岸线修复长度</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公里</w:t>
            </w: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Merge w:val="continue"/>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539" w:type="pct"/>
            <w:vMerge w:val="continue"/>
            <w:vAlign w:val="center"/>
          </w:tcPr>
          <w:p>
            <w:pPr>
              <w:adjustRightInd w:val="0"/>
              <w:snapToGrid w:val="0"/>
              <w:spacing w:line="240" w:lineRule="atLeast"/>
              <w:ind w:firstLine="0" w:firstLineChars="0"/>
              <w:jc w:val="center"/>
              <w:rPr>
                <w:rFonts w:eastAsia="宋体" w:cs="Times New Roman"/>
                <w:kern w:val="0"/>
                <w:sz w:val="21"/>
                <w:highlight w:val="none"/>
                <w:lang w:bidi="ar"/>
              </w:rPr>
            </w:pPr>
          </w:p>
        </w:tc>
        <w:tc>
          <w:tcPr>
            <w:tcW w:w="540" w:type="pct"/>
            <w:vMerge w:val="continue"/>
            <w:vAlign w:val="center"/>
          </w:tcPr>
          <w:p>
            <w:pPr>
              <w:adjustRightInd w:val="0"/>
              <w:snapToGrid w:val="0"/>
              <w:spacing w:line="240" w:lineRule="atLeast"/>
              <w:ind w:firstLine="0" w:firstLineChars="0"/>
              <w:jc w:val="center"/>
              <w:rPr>
                <w:rFonts w:eastAsia="宋体" w:cs="Times New Roman"/>
                <w:kern w:val="0"/>
                <w:sz w:val="21"/>
                <w:highlight w:val="none"/>
                <w:lang w:bidi="ar"/>
              </w:rPr>
            </w:pPr>
          </w:p>
        </w:tc>
        <w:tc>
          <w:tcPr>
            <w:tcW w:w="400" w:type="pct"/>
            <w:vMerge w:val="continue"/>
            <w:vAlign w:val="center"/>
          </w:tcPr>
          <w:p>
            <w:pPr>
              <w:adjustRightInd w:val="0"/>
              <w:snapToGrid w:val="0"/>
              <w:spacing w:line="240" w:lineRule="atLeast"/>
              <w:ind w:firstLine="0" w:firstLineChars="0"/>
              <w:jc w:val="center"/>
              <w:rPr>
                <w:rFonts w:eastAsia="宋体" w:cs="Times New Roman"/>
                <w:kern w:val="0"/>
                <w:sz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滨海湿地修复面积</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公顷</w:t>
            </w: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Merge w:val="continue"/>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539" w:type="pct"/>
            <w:vMerge w:val="continue"/>
            <w:vAlign w:val="center"/>
          </w:tcPr>
          <w:p>
            <w:pPr>
              <w:adjustRightInd w:val="0"/>
              <w:snapToGrid w:val="0"/>
              <w:spacing w:line="240" w:lineRule="atLeast"/>
              <w:ind w:firstLine="0" w:firstLineChars="0"/>
              <w:jc w:val="center"/>
              <w:rPr>
                <w:rFonts w:eastAsia="宋体" w:cs="Times New Roman"/>
                <w:kern w:val="0"/>
                <w:sz w:val="21"/>
                <w:highlight w:val="none"/>
                <w:lang w:bidi="ar"/>
              </w:rPr>
            </w:pPr>
          </w:p>
        </w:tc>
        <w:tc>
          <w:tcPr>
            <w:tcW w:w="540" w:type="pct"/>
            <w:vMerge w:val="continue"/>
            <w:vAlign w:val="center"/>
          </w:tcPr>
          <w:p>
            <w:pPr>
              <w:adjustRightInd w:val="0"/>
              <w:snapToGrid w:val="0"/>
              <w:spacing w:line="240" w:lineRule="atLeast"/>
              <w:ind w:firstLine="0" w:firstLineChars="0"/>
              <w:jc w:val="center"/>
              <w:rPr>
                <w:rFonts w:eastAsia="宋体" w:cs="Times New Roman"/>
                <w:kern w:val="0"/>
                <w:sz w:val="21"/>
                <w:highlight w:val="none"/>
                <w:lang w:bidi="ar"/>
              </w:rPr>
            </w:pPr>
          </w:p>
        </w:tc>
        <w:tc>
          <w:tcPr>
            <w:tcW w:w="400" w:type="pct"/>
            <w:vMerge w:val="continue"/>
            <w:vAlign w:val="center"/>
          </w:tcPr>
          <w:p>
            <w:pPr>
              <w:adjustRightInd w:val="0"/>
              <w:snapToGrid w:val="0"/>
              <w:spacing w:line="240" w:lineRule="atLeast"/>
              <w:ind w:firstLine="0" w:firstLineChars="0"/>
              <w:jc w:val="center"/>
              <w:rPr>
                <w:rFonts w:eastAsia="宋体" w:cs="Times New Roman"/>
                <w:kern w:val="0"/>
                <w:sz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（四）</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生态环境风险防范</w:t>
            </w: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13</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危险废物利用处置率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100</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100</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100</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100</w:t>
            </w:r>
          </w:p>
        </w:tc>
        <w:tc>
          <w:tcPr>
            <w:tcW w:w="40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14</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建设用地土壤污染风险管控和修复名录制度</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建立</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建立</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建立</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建立</w:t>
            </w:r>
          </w:p>
        </w:tc>
        <w:tc>
          <w:tcPr>
            <w:tcW w:w="40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15</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突发生态环境事件应急管理机制</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建立</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建立</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建立</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建立</w:t>
            </w:r>
          </w:p>
        </w:tc>
        <w:tc>
          <w:tcPr>
            <w:tcW w:w="40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生态空间</w:t>
            </w:r>
          </w:p>
        </w:tc>
        <w:tc>
          <w:tcPr>
            <w:tcW w:w="359"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（五）</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空间格局优化</w:t>
            </w:r>
          </w:p>
        </w:tc>
        <w:tc>
          <w:tcPr>
            <w:tcW w:w="23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16</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自然生态空间</w:t>
            </w:r>
          </w:p>
        </w:tc>
        <w:tc>
          <w:tcPr>
            <w:tcW w:w="23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面积不减少，性质不改变，功能不降低</w:t>
            </w:r>
          </w:p>
        </w:tc>
        <w:tc>
          <w:tcPr>
            <w:tcW w:w="39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生态保护红线</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62.8平方公里；面积不减少，性质不改变，功能不降低</w:t>
            </w:r>
          </w:p>
        </w:tc>
        <w:tc>
          <w:tcPr>
            <w:tcW w:w="539"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面积不减少，性质不改变，功能不降低</w:t>
            </w:r>
          </w:p>
        </w:tc>
        <w:tc>
          <w:tcPr>
            <w:tcW w:w="54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面积不减少，性质不改变，功能不降低</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自然保护地</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面积不减少，性质不改变，功能不降低</w:t>
            </w:r>
          </w:p>
        </w:tc>
        <w:tc>
          <w:tcPr>
            <w:tcW w:w="539"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面积不减少，性质不改变，功能不降低</w:t>
            </w:r>
          </w:p>
        </w:tc>
        <w:tc>
          <w:tcPr>
            <w:tcW w:w="54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面积不减少，性质不改变，功能不降低</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17</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自然岸线保有率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完成上级管控目标</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不涉及</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不涉及</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不涉及</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18</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河湖岸线保护率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完成上级管控目标</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完成上级管控目标</w:t>
            </w:r>
          </w:p>
        </w:tc>
        <w:tc>
          <w:tcPr>
            <w:tcW w:w="539"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完成上级管控目标</w:t>
            </w:r>
          </w:p>
        </w:tc>
        <w:tc>
          <w:tcPr>
            <w:tcW w:w="54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完成上级管控目标</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生态经济</w:t>
            </w:r>
          </w:p>
        </w:tc>
        <w:tc>
          <w:tcPr>
            <w:tcW w:w="359"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（六）</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资源节约与利用</w:t>
            </w: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19</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单位地区生产总值能耗</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吨标准煤/万元</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完成上级规定的目标任务；保持稳定或持续改善</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2021-2022年单位地区生产总值能耗累计下降率目标：4.7%；</w:t>
            </w:r>
          </w:p>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实际：规上工业企业能源消费总量为66977.65吨标准煤，同比下降28.9%</w:t>
            </w:r>
          </w:p>
        </w:tc>
        <w:tc>
          <w:tcPr>
            <w:tcW w:w="539" w:type="pct"/>
            <w:vAlign w:val="center"/>
          </w:tcPr>
          <w:p>
            <w:pPr>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完成上级规定的目标任务；保持稳定或持续改善</w:t>
            </w:r>
          </w:p>
        </w:tc>
        <w:tc>
          <w:tcPr>
            <w:tcW w:w="540" w:type="pct"/>
            <w:vAlign w:val="center"/>
          </w:tcPr>
          <w:p>
            <w:pPr>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完成上级规定的目标任务；保持稳定或持续改善</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20</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单位地区生产总值用水量</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立方米/万元</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完成上级规定的目标任务；保持稳定或持续改善</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lang w:bidi="ar"/>
              </w:rPr>
              <w:t>19.38 （无上级规定的目标任务）</w:t>
            </w: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完成上级规定的目标任务；保持稳定或持续改善</w:t>
            </w:r>
          </w:p>
        </w:tc>
        <w:tc>
          <w:tcPr>
            <w:tcW w:w="540"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完成上级规定的目标任务；保持稳定或持续改善</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21</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单位国内生产总值建设用地使用面积下降率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完成上级规定的目标任务</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snapToGrid w:val="0"/>
              <w:spacing w:line="240" w:lineRule="atLeast"/>
              <w:ind w:firstLine="0" w:firstLineChars="0"/>
              <w:jc w:val="center"/>
              <w:rPr>
                <w:rFonts w:eastAsia="宋体" w:cs="Times New Roman"/>
                <w:kern w:val="0"/>
                <w:sz w:val="21"/>
                <w:highlight w:val="none"/>
                <w:lang w:bidi="ar"/>
              </w:rPr>
            </w:pPr>
            <w:r>
              <w:rPr>
                <w:rFonts w:eastAsia="宋体" w:cs="Times New Roman"/>
                <w:kern w:val="0"/>
                <w:sz w:val="21"/>
                <w:highlight w:val="none"/>
                <w:lang w:bidi="ar"/>
              </w:rPr>
              <w:t>3.45（无成上级规定的目标任务）</w:t>
            </w: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完成上级规定的目标任务</w:t>
            </w:r>
          </w:p>
        </w:tc>
        <w:tc>
          <w:tcPr>
            <w:tcW w:w="540"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完成上级规定的目标任务</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22</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应当实施强制性清洁生产企业通过审核的比例</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完成年度审核计划</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完成年度审核计划</w:t>
            </w:r>
          </w:p>
        </w:tc>
        <w:tc>
          <w:tcPr>
            <w:tcW w:w="540"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完成年度审核计划</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（七）</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产业循环发展</w:t>
            </w:r>
          </w:p>
        </w:tc>
        <w:tc>
          <w:tcPr>
            <w:tcW w:w="23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23</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农业废弃物综合利用率</w:t>
            </w:r>
          </w:p>
        </w:tc>
        <w:tc>
          <w:tcPr>
            <w:tcW w:w="23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lang w:bidi="ar"/>
              </w:rPr>
            </w:pPr>
          </w:p>
        </w:tc>
        <w:tc>
          <w:tcPr>
            <w:tcW w:w="39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参考性</w:t>
            </w:r>
          </w:p>
        </w:tc>
        <w:tc>
          <w:tcPr>
            <w:tcW w:w="539" w:type="pct"/>
            <w:vAlign w:val="center"/>
          </w:tcPr>
          <w:p>
            <w:pPr>
              <w:snapToGrid w:val="0"/>
              <w:spacing w:line="240" w:lineRule="atLeast"/>
              <w:ind w:firstLine="0" w:firstLineChars="0"/>
              <w:jc w:val="center"/>
              <w:rPr>
                <w:rFonts w:eastAsia="宋体" w:cs="Times New Roman"/>
                <w:sz w:val="21"/>
                <w:highlight w:val="none"/>
              </w:rPr>
            </w:pPr>
          </w:p>
        </w:tc>
        <w:tc>
          <w:tcPr>
            <w:tcW w:w="539" w:type="pct"/>
            <w:vAlign w:val="center"/>
          </w:tcPr>
          <w:p>
            <w:pPr>
              <w:snapToGrid w:val="0"/>
              <w:spacing w:line="240" w:lineRule="atLeast"/>
              <w:ind w:firstLine="0" w:firstLineChars="0"/>
              <w:jc w:val="center"/>
              <w:rPr>
                <w:rFonts w:eastAsia="宋体" w:cs="Times New Roman"/>
                <w:sz w:val="21"/>
                <w:highlight w:val="none"/>
              </w:rPr>
            </w:pPr>
          </w:p>
        </w:tc>
        <w:tc>
          <w:tcPr>
            <w:tcW w:w="540" w:type="pct"/>
            <w:vAlign w:val="center"/>
          </w:tcPr>
          <w:p>
            <w:pPr>
              <w:snapToGrid w:val="0"/>
              <w:spacing w:line="240" w:lineRule="atLeast"/>
              <w:ind w:firstLine="0" w:firstLineChars="0"/>
              <w:jc w:val="center"/>
              <w:rPr>
                <w:rFonts w:eastAsia="宋体" w:cs="Times New Roman"/>
                <w:sz w:val="21"/>
                <w:highlight w:val="none"/>
              </w:rPr>
            </w:pP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231"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秸秆综合利用率</w:t>
            </w:r>
          </w:p>
        </w:tc>
        <w:tc>
          <w:tcPr>
            <w:tcW w:w="233"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≥92</w:t>
            </w:r>
          </w:p>
        </w:tc>
        <w:tc>
          <w:tcPr>
            <w:tcW w:w="391"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93.66</w:t>
            </w: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94</w:t>
            </w:r>
          </w:p>
        </w:tc>
        <w:tc>
          <w:tcPr>
            <w:tcW w:w="540"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w:t>
            </w:r>
            <w:r>
              <w:rPr>
                <w:rFonts w:hint="eastAsia" w:eastAsia="宋体" w:cs="Times New Roman"/>
                <w:sz w:val="21"/>
                <w:highlight w:val="none"/>
              </w:rPr>
              <w:t>5</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231"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畜禽粪污综合利用率</w:t>
            </w:r>
          </w:p>
        </w:tc>
        <w:tc>
          <w:tcPr>
            <w:tcW w:w="233"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≥81</w:t>
            </w:r>
          </w:p>
        </w:tc>
        <w:tc>
          <w:tcPr>
            <w:tcW w:w="391"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95.56</w:t>
            </w: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96</w:t>
            </w:r>
          </w:p>
        </w:tc>
        <w:tc>
          <w:tcPr>
            <w:tcW w:w="540"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w:t>
            </w:r>
            <w:r>
              <w:rPr>
                <w:rFonts w:hint="eastAsia" w:eastAsia="宋体" w:cs="Times New Roman"/>
                <w:sz w:val="21"/>
                <w:highlight w:val="none"/>
              </w:rPr>
              <w:t>7</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231"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农膜回收利用率</w:t>
            </w:r>
          </w:p>
        </w:tc>
        <w:tc>
          <w:tcPr>
            <w:tcW w:w="233"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lang w:bidi="ar"/>
              </w:rPr>
            </w:pPr>
            <w:r>
              <w:rPr>
                <w:rFonts w:eastAsia="宋体" w:cs="Times New Roman"/>
                <w:kern w:val="0"/>
                <w:sz w:val="21"/>
                <w:highlight w:val="none"/>
                <w:lang w:bidi="ar"/>
              </w:rPr>
              <w:t>完成上级规定的目标任务</w:t>
            </w:r>
          </w:p>
        </w:tc>
        <w:tc>
          <w:tcPr>
            <w:tcW w:w="391"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98.30（无</w:t>
            </w:r>
            <w:r>
              <w:rPr>
                <w:rFonts w:eastAsia="宋体" w:cs="Times New Roman"/>
                <w:kern w:val="0"/>
                <w:sz w:val="21"/>
                <w:highlight w:val="none"/>
                <w:lang w:bidi="ar"/>
              </w:rPr>
              <w:t>上级规定的目标任务）</w:t>
            </w: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99</w:t>
            </w:r>
          </w:p>
        </w:tc>
        <w:tc>
          <w:tcPr>
            <w:tcW w:w="540"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24</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一般工业固体废物综合利用率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≥85</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widowControl/>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93.25</w:t>
            </w:r>
          </w:p>
        </w:tc>
        <w:tc>
          <w:tcPr>
            <w:tcW w:w="539"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w:t>
            </w:r>
            <w:r>
              <w:rPr>
                <w:rFonts w:hint="eastAsia" w:eastAsia="宋体" w:cs="Times New Roman"/>
                <w:sz w:val="21"/>
                <w:highlight w:val="none"/>
              </w:rPr>
              <w:t>4</w:t>
            </w:r>
          </w:p>
        </w:tc>
        <w:tc>
          <w:tcPr>
            <w:tcW w:w="540" w:type="pct"/>
            <w:vAlign w:val="center"/>
          </w:tcPr>
          <w:p>
            <w:pPr>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95</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生态生活</w:t>
            </w:r>
          </w:p>
        </w:tc>
        <w:tc>
          <w:tcPr>
            <w:tcW w:w="359"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（八）</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人居环境改善</w:t>
            </w: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25</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集中式饮用水水源地水质优良比例</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lang w:bidi="ar"/>
              </w:rPr>
              <w:t>100&lt;剔除地质因素、调水因素等影响&gt;</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100</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100</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100</w:t>
            </w:r>
          </w:p>
        </w:tc>
        <w:tc>
          <w:tcPr>
            <w:tcW w:w="40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26</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村镇饮用水卫生合格率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100</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100</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100</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100</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27</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城镇污水处理率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≥85</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100</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100</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100</w:t>
            </w:r>
          </w:p>
        </w:tc>
        <w:tc>
          <w:tcPr>
            <w:tcW w:w="400" w:type="pct"/>
            <w:vAlign w:val="center"/>
          </w:tcPr>
          <w:p>
            <w:pPr>
              <w:adjustRightInd w:val="0"/>
              <w:snapToGrid w:val="0"/>
              <w:spacing w:line="240" w:lineRule="atLeast"/>
              <w:ind w:firstLine="0" w:firstLineChars="0"/>
              <w:jc w:val="center"/>
              <w:rPr>
                <w:rFonts w:eastAsia="宋体" w:cs="Times New Roman"/>
                <w:kern w:val="0"/>
                <w:sz w:val="21"/>
                <w:highlight w:val="none"/>
                <w:lang w:bidi="ar"/>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28</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城镇生活垃圾无害化处理率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≥80</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b/>
                <w:bCs/>
                <w:sz w:val="21"/>
                <w:highlight w:val="none"/>
              </w:rPr>
            </w:pPr>
            <w:r>
              <w:rPr>
                <w:rFonts w:eastAsia="宋体" w:cs="Times New Roman"/>
                <w:kern w:val="0"/>
                <w:sz w:val="21"/>
                <w:highlight w:val="none"/>
                <w:lang w:bidi="ar"/>
              </w:rPr>
              <w:t>100</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100</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100</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29</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完成农村生活污水治理任务的行政村比例</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完成上年度的目标任务</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完成上年度的目标任务</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完成上年度的目标任务</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完成上年度的目标任务</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30</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农村无害化卫生厕所普及率</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完成上级规定的目标任务</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完成上年度的目标任务</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完成上年度的目标任务</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kern w:val="0"/>
                <w:sz w:val="21"/>
                <w:highlight w:val="none"/>
                <w:lang w:bidi="ar"/>
              </w:rPr>
              <w:t>完成上年度的目标任务</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（九）</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生活方式绿色化</w:t>
            </w: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31</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城镇新建绿色建筑比例</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≥50</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23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32</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生活废弃物综合利用</w:t>
            </w:r>
          </w:p>
        </w:tc>
        <w:tc>
          <w:tcPr>
            <w:tcW w:w="23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实施</w:t>
            </w:r>
          </w:p>
        </w:tc>
        <w:tc>
          <w:tcPr>
            <w:tcW w:w="391"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城镇生活垃圾分类减量化行动</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实施</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实施</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实施</w:t>
            </w:r>
          </w:p>
        </w:tc>
        <w:tc>
          <w:tcPr>
            <w:tcW w:w="400"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农村生活垃圾集中收集储运</w:t>
            </w:r>
          </w:p>
        </w:tc>
        <w:tc>
          <w:tcPr>
            <w:tcW w:w="23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493"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391" w:type="pct"/>
            <w:vMerge w:val="continue"/>
            <w:shd w:val="clear" w:color="auto" w:fill="auto"/>
            <w:vAlign w:val="center"/>
          </w:tcPr>
          <w:p>
            <w:pPr>
              <w:adjustRightInd w:val="0"/>
              <w:snapToGrid w:val="0"/>
              <w:spacing w:line="240" w:lineRule="atLeast"/>
              <w:ind w:firstLine="0" w:firstLineChars="0"/>
              <w:jc w:val="center"/>
              <w:rPr>
                <w:rFonts w:eastAsia="宋体" w:cs="Times New Roman"/>
                <w:sz w:val="21"/>
                <w:highlight w:val="none"/>
              </w:rPr>
            </w:pP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实施</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实施</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实施</w:t>
            </w:r>
          </w:p>
        </w:tc>
        <w:tc>
          <w:tcPr>
            <w:tcW w:w="400"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33</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政府绿色采购比例</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≥80</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约束性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99.46</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54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400"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生态文化</w:t>
            </w:r>
          </w:p>
        </w:tc>
        <w:tc>
          <w:tcPr>
            <w:tcW w:w="359" w:type="pct"/>
            <w:vMerge w:val="restar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（十）</w:t>
            </w:r>
          </w:p>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观念意识普及</w:t>
            </w: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34</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党政领导干部参加生态文明培训的人数比例</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100</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100</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rPr>
              <w:t>100</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kern w:val="0"/>
                <w:sz w:val="21"/>
                <w:highlight w:val="none"/>
                <w:lang w:bidi="ar"/>
              </w:rPr>
            </w:pPr>
            <w:r>
              <w:rPr>
                <w:rFonts w:eastAsia="宋体" w:cs="Times New Roman"/>
                <w:sz w:val="21"/>
                <w:highlight w:val="none"/>
              </w:rPr>
              <w:t>100</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35</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公众对生态文明建设的满意度</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≥80</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97.85</w:t>
            </w:r>
          </w:p>
        </w:tc>
        <w:tc>
          <w:tcPr>
            <w:tcW w:w="539"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r>
              <w:rPr>
                <w:rFonts w:eastAsia="宋体" w:cs="Times New Roman"/>
                <w:sz w:val="21"/>
                <w:highlight w:val="none"/>
              </w:rPr>
              <w:t>98</w:t>
            </w:r>
          </w:p>
        </w:tc>
        <w:tc>
          <w:tcPr>
            <w:tcW w:w="540"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r>
              <w:rPr>
                <w:rFonts w:eastAsia="宋体" w:cs="Times New Roman"/>
                <w:sz w:val="21"/>
                <w:highlight w:val="none"/>
              </w:rPr>
              <w:t>99</w:t>
            </w:r>
          </w:p>
        </w:tc>
        <w:tc>
          <w:tcPr>
            <w:tcW w:w="400" w:type="pct"/>
            <w:vAlign w:val="center"/>
          </w:tcPr>
          <w:p>
            <w:pPr>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6" w:type="pct"/>
            <w:vMerge w:val="continue"/>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p>
        </w:tc>
        <w:tc>
          <w:tcPr>
            <w:tcW w:w="359" w:type="pct"/>
            <w:vMerge w:val="continue"/>
            <w:shd w:val="clear" w:color="auto" w:fill="auto"/>
            <w:noWrap/>
            <w:vAlign w:val="center"/>
          </w:tcPr>
          <w:p>
            <w:pPr>
              <w:adjustRightInd w:val="0"/>
              <w:snapToGrid w:val="0"/>
              <w:spacing w:line="240" w:lineRule="atLeast"/>
              <w:ind w:firstLine="0" w:firstLineChars="0"/>
              <w:rPr>
                <w:rFonts w:eastAsia="宋体" w:cs="Times New Roman"/>
                <w:sz w:val="21"/>
                <w:highlight w:val="none"/>
              </w:rPr>
            </w:pPr>
          </w:p>
        </w:tc>
        <w:tc>
          <w:tcPr>
            <w:tcW w:w="23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36</w:t>
            </w:r>
          </w:p>
        </w:tc>
        <w:tc>
          <w:tcPr>
            <w:tcW w:w="975"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公众对生态文明建设的参与度</w:t>
            </w:r>
          </w:p>
        </w:tc>
        <w:tc>
          <w:tcPr>
            <w:tcW w:w="23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p>
        </w:tc>
        <w:tc>
          <w:tcPr>
            <w:tcW w:w="493"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≥80</w:t>
            </w:r>
          </w:p>
        </w:tc>
        <w:tc>
          <w:tcPr>
            <w:tcW w:w="391" w:type="pct"/>
            <w:shd w:val="clear" w:color="auto" w:fill="auto"/>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参考性</w:t>
            </w:r>
          </w:p>
        </w:tc>
        <w:tc>
          <w:tcPr>
            <w:tcW w:w="539" w:type="pct"/>
            <w:vAlign w:val="center"/>
          </w:tcPr>
          <w:p>
            <w:pPr>
              <w:adjustRightInd w:val="0"/>
              <w:snapToGrid w:val="0"/>
              <w:spacing w:line="240" w:lineRule="atLeast"/>
              <w:ind w:firstLine="0" w:firstLineChars="0"/>
              <w:jc w:val="center"/>
              <w:rPr>
                <w:rFonts w:eastAsia="宋体" w:cs="Times New Roman"/>
                <w:sz w:val="21"/>
                <w:highlight w:val="none"/>
              </w:rPr>
            </w:pPr>
            <w:r>
              <w:rPr>
                <w:rFonts w:eastAsia="宋体" w:cs="Times New Roman"/>
                <w:sz w:val="21"/>
                <w:highlight w:val="none"/>
              </w:rPr>
              <w:t>89.56</w:t>
            </w:r>
          </w:p>
        </w:tc>
        <w:tc>
          <w:tcPr>
            <w:tcW w:w="539"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r>
              <w:rPr>
                <w:rFonts w:eastAsia="宋体" w:cs="Times New Roman"/>
                <w:sz w:val="21"/>
                <w:highlight w:val="none"/>
              </w:rPr>
              <w:t>90</w:t>
            </w:r>
          </w:p>
        </w:tc>
        <w:tc>
          <w:tcPr>
            <w:tcW w:w="54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kern w:val="0"/>
                <w:sz w:val="21"/>
                <w:highlight w:val="none"/>
                <w:lang w:bidi="ar"/>
              </w:rPr>
              <w:t>≥</w:t>
            </w:r>
            <w:r>
              <w:rPr>
                <w:rFonts w:eastAsia="宋体" w:cs="Times New Roman"/>
                <w:sz w:val="21"/>
                <w:highlight w:val="none"/>
              </w:rPr>
              <w:t>92</w:t>
            </w:r>
          </w:p>
        </w:tc>
        <w:tc>
          <w:tcPr>
            <w:tcW w:w="400" w:type="pct"/>
            <w:vAlign w:val="center"/>
          </w:tcPr>
          <w:p>
            <w:pPr>
              <w:widowControl/>
              <w:adjustRightInd w:val="0"/>
              <w:snapToGrid w:val="0"/>
              <w:spacing w:line="240" w:lineRule="atLeast"/>
              <w:ind w:firstLine="0" w:firstLineChars="0"/>
              <w:jc w:val="center"/>
              <w:textAlignment w:val="center"/>
              <w:rPr>
                <w:rFonts w:eastAsia="宋体" w:cs="Times New Roman"/>
                <w:sz w:val="21"/>
                <w:highlight w:val="none"/>
              </w:rPr>
            </w:pPr>
            <w:r>
              <w:rPr>
                <w:rFonts w:eastAsia="宋体" w:cs="Times New Roman"/>
                <w:sz w:val="21"/>
                <w:highlight w:val="none"/>
              </w:rPr>
              <w:t>达标</w:t>
            </w:r>
          </w:p>
        </w:tc>
      </w:tr>
    </w:tbl>
    <w:p>
      <w:pPr>
        <w:ind w:firstLine="560"/>
        <w:rPr>
          <w:highlight w:val="none"/>
        </w:rPr>
      </w:pPr>
      <w:r>
        <w:rPr>
          <w:highlight w:val="none"/>
        </w:rPr>
        <w:br w:type="page"/>
      </w:r>
    </w:p>
    <w:p>
      <w:pPr>
        <w:pStyle w:val="82"/>
        <w:spacing w:before="163" w:after="163"/>
        <w:rPr>
          <w:highlight w:val="none"/>
        </w:rPr>
      </w:pPr>
      <w:r>
        <w:rPr>
          <w:highlight w:val="none"/>
        </w:rPr>
        <w:t>表3-2 泰山区生态文明建设示范区指标（国家级）</w:t>
      </w:r>
    </w:p>
    <w:tbl>
      <w:tblPr>
        <w:tblStyle w:val="30"/>
        <w:tblW w:w="4996" w:type="pct"/>
        <w:tblInd w:w="0" w:type="dxa"/>
        <w:tblLayout w:type="autofit"/>
        <w:tblCellMar>
          <w:top w:w="0" w:type="dxa"/>
          <w:left w:w="108" w:type="dxa"/>
          <w:bottom w:w="0" w:type="dxa"/>
          <w:right w:w="108" w:type="dxa"/>
        </w:tblCellMar>
      </w:tblPr>
      <w:tblGrid>
        <w:gridCol w:w="832"/>
        <w:gridCol w:w="1012"/>
        <w:gridCol w:w="669"/>
        <w:gridCol w:w="2766"/>
        <w:gridCol w:w="666"/>
        <w:gridCol w:w="1395"/>
        <w:gridCol w:w="1111"/>
        <w:gridCol w:w="1528"/>
        <w:gridCol w:w="1528"/>
        <w:gridCol w:w="1528"/>
        <w:gridCol w:w="1128"/>
      </w:tblGrid>
      <w:tr>
        <w:tblPrEx>
          <w:tblCellMar>
            <w:top w:w="0" w:type="dxa"/>
            <w:left w:w="108" w:type="dxa"/>
            <w:bottom w:w="0" w:type="dxa"/>
            <w:right w:w="108" w:type="dxa"/>
          </w:tblCellMar>
        </w:tblPrEx>
        <w:trPr>
          <w:trHeight w:val="171" w:hRule="atLeast"/>
          <w:tblHeader/>
        </w:trPr>
        <w:tc>
          <w:tcPr>
            <w:tcW w:w="294"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Fonts w:eastAsia="宋体" w:cs="Times New Roman"/>
                <w:b/>
                <w:bCs/>
                <w:sz w:val="21"/>
                <w:highlight w:val="none"/>
              </w:rPr>
            </w:pPr>
            <w:r>
              <w:rPr>
                <w:rFonts w:eastAsia="宋体" w:cs="Times New Roman"/>
                <w:b/>
                <w:bCs/>
                <w:kern w:val="0"/>
                <w:sz w:val="21"/>
                <w:highlight w:val="none"/>
              </w:rPr>
              <w:t>领域</w:t>
            </w:r>
          </w:p>
        </w:tc>
        <w:tc>
          <w:tcPr>
            <w:tcW w:w="357"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Fonts w:eastAsia="宋体" w:cs="Times New Roman"/>
                <w:b/>
                <w:bCs/>
                <w:sz w:val="21"/>
                <w:highlight w:val="none"/>
              </w:rPr>
            </w:pPr>
            <w:r>
              <w:rPr>
                <w:rFonts w:eastAsia="宋体" w:cs="Times New Roman"/>
                <w:b/>
                <w:bCs/>
                <w:kern w:val="0"/>
                <w:sz w:val="21"/>
                <w:highlight w:val="none"/>
              </w:rPr>
              <w:t>任务</w:t>
            </w:r>
          </w:p>
        </w:tc>
        <w:tc>
          <w:tcPr>
            <w:tcW w:w="236"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Fonts w:eastAsia="宋体" w:cs="Times New Roman"/>
                <w:b/>
                <w:bCs/>
                <w:sz w:val="21"/>
                <w:highlight w:val="none"/>
              </w:rPr>
            </w:pPr>
            <w:r>
              <w:rPr>
                <w:rFonts w:eastAsia="宋体" w:cs="Times New Roman"/>
                <w:b/>
                <w:bCs/>
                <w:kern w:val="0"/>
                <w:sz w:val="21"/>
                <w:highlight w:val="none"/>
              </w:rPr>
              <w:t>序号</w:t>
            </w:r>
          </w:p>
        </w:tc>
        <w:tc>
          <w:tcPr>
            <w:tcW w:w="976"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Fonts w:eastAsia="宋体" w:cs="Times New Roman"/>
                <w:b/>
                <w:bCs/>
                <w:sz w:val="21"/>
                <w:highlight w:val="none"/>
              </w:rPr>
            </w:pPr>
            <w:r>
              <w:rPr>
                <w:rFonts w:eastAsia="宋体" w:cs="Times New Roman"/>
                <w:b/>
                <w:bCs/>
                <w:kern w:val="0"/>
                <w:sz w:val="21"/>
                <w:highlight w:val="none"/>
              </w:rPr>
              <w:t>指标名称</w:t>
            </w:r>
          </w:p>
        </w:tc>
        <w:tc>
          <w:tcPr>
            <w:tcW w:w="235"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Fonts w:eastAsia="宋体" w:cs="Times New Roman"/>
                <w:b/>
                <w:bCs/>
                <w:sz w:val="21"/>
                <w:highlight w:val="none"/>
              </w:rPr>
            </w:pPr>
            <w:r>
              <w:rPr>
                <w:rFonts w:eastAsia="宋体" w:cs="Times New Roman"/>
                <w:b/>
                <w:bCs/>
                <w:kern w:val="0"/>
                <w:sz w:val="21"/>
                <w:highlight w:val="none"/>
              </w:rPr>
              <w:t>单位</w:t>
            </w:r>
          </w:p>
        </w:tc>
        <w:tc>
          <w:tcPr>
            <w:tcW w:w="492"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Fonts w:eastAsia="宋体" w:cs="Times New Roman"/>
                <w:b/>
                <w:bCs/>
                <w:sz w:val="21"/>
                <w:highlight w:val="none"/>
              </w:rPr>
            </w:pPr>
            <w:r>
              <w:rPr>
                <w:rFonts w:eastAsia="宋体" w:cs="Times New Roman"/>
                <w:b/>
                <w:bCs/>
                <w:kern w:val="0"/>
                <w:sz w:val="21"/>
                <w:highlight w:val="none"/>
              </w:rPr>
              <w:t>指标值</w:t>
            </w:r>
          </w:p>
        </w:tc>
        <w:tc>
          <w:tcPr>
            <w:tcW w:w="392"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Fonts w:eastAsia="宋体" w:cs="Times New Roman"/>
                <w:b/>
                <w:bCs/>
                <w:sz w:val="21"/>
                <w:highlight w:val="none"/>
              </w:rPr>
            </w:pPr>
            <w:r>
              <w:rPr>
                <w:rFonts w:eastAsia="宋体" w:cs="Times New Roman"/>
                <w:b/>
                <w:bCs/>
                <w:kern w:val="0"/>
                <w:sz w:val="21"/>
                <w:highlight w:val="none"/>
              </w:rPr>
              <w:t>指标属性</w:t>
            </w:r>
          </w:p>
        </w:tc>
        <w:tc>
          <w:tcPr>
            <w:tcW w:w="539"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Fonts w:eastAsia="宋体" w:cs="Times New Roman"/>
                <w:b/>
                <w:bCs/>
                <w:sz w:val="21"/>
                <w:highlight w:val="none"/>
              </w:rPr>
            </w:pPr>
            <w:r>
              <w:rPr>
                <w:rFonts w:eastAsia="宋体" w:cs="Times New Roman"/>
                <w:b/>
                <w:bCs/>
                <w:kern w:val="0"/>
                <w:sz w:val="21"/>
                <w:highlight w:val="none"/>
              </w:rPr>
              <w:t>2022年</w:t>
            </w:r>
          </w:p>
        </w:tc>
        <w:tc>
          <w:tcPr>
            <w:tcW w:w="539"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Style w:val="108"/>
                <w:rFonts w:hint="default" w:ascii="Times New Roman" w:hAnsi="Times New Roman" w:cs="Times New Roman"/>
                <w:color w:val="auto"/>
                <w:highlight w:val="none"/>
              </w:rPr>
            </w:pPr>
            <w:r>
              <w:rPr>
                <w:rFonts w:eastAsia="宋体" w:cs="Times New Roman"/>
                <w:b/>
                <w:bCs/>
                <w:sz w:val="21"/>
                <w:highlight w:val="none"/>
              </w:rPr>
              <w:t>2025年</w:t>
            </w:r>
          </w:p>
        </w:tc>
        <w:tc>
          <w:tcPr>
            <w:tcW w:w="539"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Style w:val="108"/>
                <w:rFonts w:hint="default" w:ascii="Times New Roman" w:hAnsi="Times New Roman" w:cs="Times New Roman"/>
                <w:color w:val="auto"/>
                <w:highlight w:val="none"/>
              </w:rPr>
            </w:pPr>
            <w:r>
              <w:rPr>
                <w:rFonts w:eastAsia="宋体" w:cs="Times New Roman"/>
                <w:b/>
                <w:bCs/>
                <w:sz w:val="21"/>
                <w:highlight w:val="none"/>
              </w:rPr>
              <w:t>2030年</w:t>
            </w:r>
          </w:p>
        </w:tc>
        <w:tc>
          <w:tcPr>
            <w:tcW w:w="398" w:type="pct"/>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adjustRightInd w:val="0"/>
              <w:spacing w:line="240" w:lineRule="auto"/>
              <w:ind w:firstLine="0" w:firstLineChars="0"/>
              <w:jc w:val="center"/>
              <w:textAlignment w:val="center"/>
              <w:rPr>
                <w:rStyle w:val="108"/>
                <w:rFonts w:hint="default" w:ascii="Times New Roman" w:hAnsi="Times New Roman" w:cs="Times New Roman"/>
                <w:color w:val="auto"/>
                <w:highlight w:val="none"/>
              </w:rPr>
            </w:pPr>
            <w:r>
              <w:rPr>
                <w:rStyle w:val="108"/>
                <w:rFonts w:hint="default" w:ascii="Times New Roman" w:hAnsi="Times New Roman" w:cs="Times New Roman"/>
                <w:color w:val="auto"/>
                <w:highlight w:val="none"/>
              </w:rPr>
              <w:t>达标情况</w:t>
            </w:r>
          </w:p>
        </w:tc>
      </w:tr>
      <w:tr>
        <w:tblPrEx>
          <w:tblCellMar>
            <w:top w:w="0" w:type="dxa"/>
            <w:left w:w="108" w:type="dxa"/>
            <w:bottom w:w="0" w:type="dxa"/>
            <w:right w:w="108" w:type="dxa"/>
          </w:tblCellMar>
        </w:tblPrEx>
        <w:trPr>
          <w:trHeight w:val="20" w:hRule="atLeast"/>
        </w:trPr>
        <w:tc>
          <w:tcPr>
            <w:tcW w:w="2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生态制度</w:t>
            </w:r>
          </w:p>
        </w:tc>
        <w:tc>
          <w:tcPr>
            <w:tcW w:w="3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（一）</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目标责任体系与制度建设</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生态文明建设规划</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制定实施</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制定实施</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制定实施</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制定实施</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2</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党委政府对生态文明建设重大目标任务部署情况</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有效开展</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有效开展</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有效开展</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有效开展</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3</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生态文明建设工作占党政实绩考核的比例</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≥20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31.67</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w:t>
            </w:r>
            <w:r>
              <w:rPr>
                <w:rFonts w:hint="eastAsia" w:eastAsia="宋体" w:cs="Times New Roman"/>
                <w:kern w:val="0"/>
                <w:sz w:val="21"/>
                <w:highlight w:val="none"/>
              </w:rPr>
              <w:t>32</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w:t>
            </w:r>
            <w:r>
              <w:rPr>
                <w:rFonts w:hint="eastAsia" w:eastAsia="宋体" w:cs="Times New Roman"/>
                <w:kern w:val="0"/>
                <w:sz w:val="21"/>
                <w:highlight w:val="none"/>
              </w:rPr>
              <w:t>33</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4</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河长制</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全面实施</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全面实施</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全面实施</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全面实施</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5</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生态环境信息公开率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100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9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6</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依法开展规划环境影响评价</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开展</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开展</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开展</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开展</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rPr>
          <w:trHeight w:val="20" w:hRule="atLeast"/>
        </w:trPr>
        <w:tc>
          <w:tcPr>
            <w:tcW w:w="294"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生态安全</w:t>
            </w:r>
          </w:p>
        </w:tc>
        <w:tc>
          <w:tcPr>
            <w:tcW w:w="357"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（二）</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生态环境质量改善</w:t>
            </w:r>
          </w:p>
        </w:tc>
        <w:tc>
          <w:tcPr>
            <w:tcW w:w="236"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7</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环境空气质量</w:t>
            </w:r>
          </w:p>
        </w:tc>
        <w:tc>
          <w:tcPr>
            <w:tcW w:w="235"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Style w:val="99"/>
                <w:rFonts w:hint="default" w:ascii="Times New Roman" w:hAnsi="Times New Roman" w:cs="Times New Roman"/>
                <w:color w:val="auto"/>
                <w:highlight w:val="none"/>
              </w:rPr>
              <w:t>完成上级规定的考核任务；保持稳定或持续改善</w:t>
            </w:r>
          </w:p>
        </w:tc>
        <w:tc>
          <w:tcPr>
            <w:tcW w:w="392"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b/>
                <w:bCs/>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p>
        </w:tc>
      </w:tr>
      <w:tr>
        <w:trPr>
          <w:trHeight w:val="787" w:hRule="atLeast"/>
        </w:trPr>
        <w:tc>
          <w:tcPr>
            <w:tcW w:w="294" w:type="pct"/>
            <w:vMerge w:val="continue"/>
            <w:tcBorders>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236" w:type="pct"/>
            <w:vMerge w:val="continue"/>
            <w:tcBorders>
              <w:left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优良天数比例</w:t>
            </w:r>
          </w:p>
        </w:tc>
        <w:tc>
          <w:tcPr>
            <w:tcW w:w="235" w:type="pct"/>
            <w:vMerge w:val="continue"/>
            <w:tcBorders>
              <w:left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vMerge w:val="continue"/>
            <w:tcBorders>
              <w:left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continue"/>
            <w:tcBorders>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完成上级规定的改善目标</w:t>
            </w:r>
          </w:p>
          <w:p>
            <w:pPr>
              <w:adjustRightInd w:val="0"/>
              <w:snapToGri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lang w:bidi="ar"/>
              </w:rPr>
              <w:t>目标：65.3%；实际：70.1%</w:t>
            </w:r>
          </w:p>
        </w:tc>
        <w:tc>
          <w:tcPr>
            <w:tcW w:w="539" w:type="pct"/>
            <w:tcBorders>
              <w:top w:val="single" w:color="000000" w:sz="4" w:space="0"/>
              <w:left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lang w:bidi="ar"/>
              </w:rPr>
              <w:t>完成上级规定的改善目标：达到环境空气质量二级标准</w:t>
            </w:r>
          </w:p>
        </w:tc>
        <w:tc>
          <w:tcPr>
            <w:tcW w:w="539" w:type="pct"/>
            <w:tcBorders>
              <w:top w:val="single" w:color="000000" w:sz="4" w:space="0"/>
              <w:left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lang w:bidi="ar"/>
              </w:rPr>
              <w:t>完成上级规定的改善目标：达到环境空气质量二级标准</w:t>
            </w:r>
          </w:p>
        </w:tc>
        <w:tc>
          <w:tcPr>
            <w:tcW w:w="398" w:type="pct"/>
            <w:tcBorders>
              <w:top w:val="single" w:color="000000" w:sz="4" w:space="0"/>
              <w:left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PM</w:t>
            </w:r>
            <w:r>
              <w:rPr>
                <w:rStyle w:val="109"/>
                <w:rFonts w:eastAsia="宋体"/>
                <w:color w:val="auto"/>
                <w:highlight w:val="none"/>
              </w:rPr>
              <w:t>2.5</w:t>
            </w:r>
            <w:r>
              <w:rPr>
                <w:rStyle w:val="99"/>
                <w:rFonts w:hint="default" w:ascii="Times New Roman" w:hAnsi="Times New Roman" w:cs="Times New Roman"/>
                <w:color w:val="auto"/>
                <w:highlight w:val="none"/>
              </w:rPr>
              <w:t>浓度下降幅度</w:t>
            </w:r>
          </w:p>
        </w:tc>
        <w:tc>
          <w:tcPr>
            <w:tcW w:w="235" w:type="pct"/>
            <w:vMerge w:val="continue"/>
            <w:tcBorders>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vMerge w:val="continue"/>
            <w:tcBorders>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完成上级规定的改善目标</w:t>
            </w:r>
          </w:p>
          <w:p>
            <w:pPr>
              <w:widowControl/>
              <w:adjustRightInd w:val="0"/>
              <w:snapToGrid w:val="0"/>
              <w:spacing w:line="240" w:lineRule="auto"/>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目标：46微克/立方米；</w:t>
            </w:r>
          </w:p>
          <w:p>
            <w:pPr>
              <w:widowControl/>
              <w:adjustRightInd w:val="0"/>
              <w:snapToGrid w:val="0"/>
              <w:spacing w:line="240" w:lineRule="auto"/>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实际：39微克/立方米；</w:t>
            </w:r>
          </w:p>
          <w:p>
            <w:pPr>
              <w:widowControl/>
              <w:adjustRightInd w:val="0"/>
              <w:snapToGri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lang w:bidi="ar"/>
              </w:rPr>
              <w:t>下降幅度：9.3%</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rPr>
            </w:pPr>
            <w:r>
              <w:rPr>
                <w:rFonts w:eastAsia="宋体" w:cs="Times New Roman"/>
                <w:sz w:val="21"/>
                <w:highlight w:val="none"/>
                <w:lang w:bidi="ar"/>
              </w:rPr>
              <w:t>完成上级规定的改善目标：达到环境空气质量二级标准</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rPr>
            </w:pPr>
            <w:r>
              <w:rPr>
                <w:rFonts w:eastAsia="宋体" w:cs="Times New Roman"/>
                <w:sz w:val="21"/>
                <w:highlight w:val="none"/>
                <w:lang w:bidi="ar"/>
              </w:rPr>
              <w:t>完成上级规定的改善目标：达到环境空气质量二级标准</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8</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水环境质量</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完成上级规定的考核任务；保持稳定或持续改善</w:t>
            </w: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b/>
                <w:bCs/>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Style w:val="99"/>
                <w:rFonts w:hint="default" w:ascii="Times New Roman" w:hAnsi="Times New Roman" w:cs="Times New Roman"/>
                <w:color w:val="auto"/>
                <w:highlight w:val="none"/>
              </w:rPr>
              <w:t>水质达到或优于</w:t>
            </w:r>
            <w:r>
              <w:rPr>
                <w:rFonts w:eastAsia="宋体" w:cs="Times New Roman"/>
                <w:sz w:val="21"/>
                <w:highlight w:val="none"/>
              </w:rPr>
              <w:t>Ⅲ</w:t>
            </w:r>
            <w:r>
              <w:rPr>
                <w:rStyle w:val="99"/>
                <w:rFonts w:hint="default" w:ascii="Times New Roman" w:hAnsi="Times New Roman" w:cs="Times New Roman"/>
                <w:color w:val="auto"/>
                <w:highlight w:val="none"/>
              </w:rPr>
              <w:t>类比例提高幅度</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rPr>
            </w:pPr>
            <w:r>
              <w:rPr>
                <w:rFonts w:eastAsia="宋体" w:cs="Times New Roman"/>
                <w:sz w:val="21"/>
                <w:highlight w:val="none"/>
                <w:lang w:bidi="ar"/>
              </w:rPr>
              <w:t>0；保持稳定或持续改善</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rPr>
            </w:pPr>
            <w:r>
              <w:rPr>
                <w:rFonts w:eastAsia="宋体" w:cs="Times New Roman"/>
                <w:sz w:val="21"/>
                <w:highlight w:val="none"/>
                <w:lang w:bidi="ar"/>
              </w:rPr>
              <w:t>保持稳定或持续改善</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rPr>
            </w:pPr>
            <w:r>
              <w:rPr>
                <w:rFonts w:eastAsia="宋体" w:cs="Times New Roman"/>
                <w:sz w:val="21"/>
                <w:highlight w:val="none"/>
                <w:lang w:bidi="ar"/>
              </w:rPr>
              <w:t>保持稳定或持续改善</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Style w:val="99"/>
                <w:rFonts w:hint="default" w:ascii="Times New Roman" w:hAnsi="Times New Roman" w:cs="Times New Roman"/>
                <w:color w:val="auto"/>
                <w:highlight w:val="none"/>
              </w:rPr>
              <w:t>劣</w:t>
            </w:r>
            <w:r>
              <w:rPr>
                <w:rFonts w:eastAsia="宋体" w:cs="Times New Roman"/>
                <w:sz w:val="21"/>
                <w:highlight w:val="none"/>
              </w:rPr>
              <w:t>V</w:t>
            </w:r>
            <w:r>
              <w:rPr>
                <w:rStyle w:val="99"/>
                <w:rFonts w:hint="default" w:ascii="Times New Roman" w:hAnsi="Times New Roman" w:cs="Times New Roman"/>
                <w:color w:val="auto"/>
                <w:highlight w:val="none"/>
              </w:rPr>
              <w:t>类水体比例下降幅度</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Style w:val="99"/>
                <w:rFonts w:hint="default" w:ascii="Times New Roman" w:hAnsi="Times New Roman" w:cs="Times New Roman"/>
                <w:color w:val="auto"/>
                <w:highlight w:val="none"/>
              </w:rPr>
              <w:t>下降幅度</w:t>
            </w:r>
            <w:r>
              <w:rPr>
                <w:rFonts w:eastAsia="宋体" w:cs="Times New Roman"/>
                <w:sz w:val="21"/>
                <w:highlight w:val="none"/>
                <w:lang w:bidi="ar"/>
              </w:rPr>
              <w:t>33.33%；无劣V类水体</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保持稳定或持续改善</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保持稳定或持续改善</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黑臭水体消除比例</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lang w:bidi="ar"/>
              </w:rPr>
            </w:pPr>
            <w:r>
              <w:rPr>
                <w:rFonts w:eastAsia="宋体" w:cs="Times New Roman"/>
                <w:sz w:val="21"/>
                <w:highlight w:val="none"/>
              </w:rPr>
              <w:t>100%</w:t>
            </w:r>
          </w:p>
        </w:tc>
        <w:tc>
          <w:tcPr>
            <w:tcW w:w="539" w:type="pct"/>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保持稳定或持续改善</w:t>
            </w:r>
          </w:p>
        </w:tc>
        <w:tc>
          <w:tcPr>
            <w:tcW w:w="539" w:type="pct"/>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lang w:bidi="ar"/>
              </w:rPr>
            </w:pPr>
            <w:r>
              <w:rPr>
                <w:rFonts w:eastAsia="宋体" w:cs="Times New Roman"/>
                <w:sz w:val="21"/>
                <w:highlight w:val="none"/>
                <w:lang w:bidi="ar"/>
              </w:rPr>
              <w:t>保持稳定或持续改善</w:t>
            </w:r>
          </w:p>
        </w:tc>
        <w:tc>
          <w:tcPr>
            <w:tcW w:w="398" w:type="pct"/>
            <w:tcBorders>
              <w:top w:val="single" w:color="000000" w:sz="4" w:space="0"/>
              <w:left w:val="single" w:color="000000" w:sz="4" w:space="0"/>
              <w:bottom w:val="single" w:color="auto"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9</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近岸海域水质优良（一、二类）比例</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kern w:val="0"/>
                <w:sz w:val="21"/>
                <w:highlight w:val="none"/>
              </w:rPr>
              <w:t>完成上级规定的考核任务；保持稳定或持续改善</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39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r>
      <w:tr>
        <w:tblPrEx>
          <w:tblCellMar>
            <w:top w:w="0" w:type="dxa"/>
            <w:left w:w="108" w:type="dxa"/>
            <w:bottom w:w="0" w:type="dxa"/>
            <w:right w:w="108" w:type="dxa"/>
          </w:tblCellMar>
        </w:tblPrEx>
        <w:trPr>
          <w:trHeight w:val="364"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（三）</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生态系统保护</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10</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生态质量指数（EQI）</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ΔEQI≥-1</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52.07；ΔEQI 0.48</w:t>
            </w: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ΔEQI≥0</w:t>
            </w: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ΔEQI≥0</w:t>
            </w:r>
          </w:p>
        </w:tc>
        <w:tc>
          <w:tcPr>
            <w:tcW w:w="39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11</w:t>
            </w:r>
          </w:p>
        </w:tc>
        <w:tc>
          <w:tcPr>
            <w:tcW w:w="9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林草覆盖率</w:t>
            </w:r>
          </w:p>
          <w:p>
            <w:pPr>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丘陵地区</w:t>
            </w:r>
          </w:p>
        </w:tc>
        <w:tc>
          <w:tcPr>
            <w:tcW w:w="235" w:type="pct"/>
            <w:vMerge w:val="restart"/>
            <w:tcBorders>
              <w:top w:val="single" w:color="auto" w:sz="4" w:space="0"/>
              <w:left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539" w:type="pct"/>
            <w:tcBorders>
              <w:top w:val="single" w:color="auto" w:sz="4" w:space="0"/>
              <w:left w:val="single" w:color="000000" w:sz="4" w:space="0"/>
              <w:bottom w:val="single" w:color="auto"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c>
          <w:tcPr>
            <w:tcW w:w="539" w:type="pct"/>
            <w:tcBorders>
              <w:top w:val="single" w:color="auto" w:sz="4" w:space="0"/>
              <w:left w:val="single" w:color="000000" w:sz="4" w:space="0"/>
              <w:bottom w:val="single" w:color="auto"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c>
          <w:tcPr>
            <w:tcW w:w="398" w:type="pct"/>
            <w:tcBorders>
              <w:top w:val="single" w:color="auto" w:sz="4" w:space="0"/>
              <w:left w:val="single" w:color="000000" w:sz="4" w:space="0"/>
              <w:bottom w:val="single" w:color="auto"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235" w:type="pct"/>
            <w:vMerge w:val="continue"/>
            <w:tcBorders>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≥40</w:t>
            </w: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rPr>
            </w:pPr>
            <w:r>
              <w:rPr>
                <w:rFonts w:eastAsia="宋体" w:cs="Times New Roman"/>
                <w:sz w:val="21"/>
                <w:highlight w:val="none"/>
              </w:rPr>
              <w:t>43.80</w:t>
            </w:r>
          </w:p>
        </w:tc>
        <w:tc>
          <w:tcPr>
            <w:tcW w:w="539" w:type="pct"/>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lang w:bidi="ar"/>
              </w:rPr>
              <w:t>44</w:t>
            </w:r>
          </w:p>
        </w:tc>
        <w:tc>
          <w:tcPr>
            <w:tcW w:w="539" w:type="pct"/>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lang w:bidi="ar"/>
              </w:rPr>
              <w:t>44</w:t>
            </w:r>
          </w:p>
        </w:tc>
        <w:tc>
          <w:tcPr>
            <w:tcW w:w="398" w:type="pct"/>
            <w:tcBorders>
              <w:top w:val="single" w:color="auto"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9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12</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生物多样性保护</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国家重点保护野生动植物保护率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≥95</w:t>
            </w: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≥95</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≥95</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≥95</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外来物种入侵</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不明显</w:t>
            </w: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不明显</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不明显</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不明显</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特有性或指示性水生物种保持率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不降低</w:t>
            </w: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不降低</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不降低</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不降低</w:t>
            </w:r>
          </w:p>
        </w:tc>
        <w:tc>
          <w:tcPr>
            <w:tcW w:w="398" w:type="pct"/>
            <w:tcBorders>
              <w:top w:val="single" w:color="000000" w:sz="4" w:space="0"/>
              <w:left w:val="single" w:color="000000" w:sz="4" w:space="0"/>
              <w:bottom w:val="single" w:color="000000" w:sz="4" w:space="0"/>
              <w:right w:val="single" w:color="000000" w:sz="4" w:space="0"/>
            </w:tcBorders>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13</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海岸生态修复</w:t>
            </w:r>
          </w:p>
          <w:p>
            <w:pPr>
              <w:widowControl/>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自然岸线修复长度</w:t>
            </w:r>
          </w:p>
          <w:p>
            <w:pPr>
              <w:widowControl/>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滨海湿地修复面积</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公里</w:t>
            </w:r>
          </w:p>
          <w:p>
            <w:pPr>
              <w:pStyle w:val="39"/>
              <w:jc w:val="center"/>
              <w:rPr>
                <w:rFonts w:hint="default" w:ascii="Times New Roman" w:hAnsi="Times New Roman" w:eastAsia="宋体"/>
                <w:color w:val="auto"/>
                <w:sz w:val="21"/>
                <w:szCs w:val="21"/>
                <w:highlight w:val="none"/>
              </w:rPr>
            </w:pPr>
            <w:r>
              <w:rPr>
                <w:rFonts w:hint="default" w:ascii="Times New Roman" w:hAnsi="Times New Roman" w:eastAsia="宋体"/>
                <w:color w:val="auto"/>
                <w:sz w:val="21"/>
                <w:szCs w:val="21"/>
                <w:highlight w:val="none"/>
              </w:rPr>
              <w:t>公顷</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完成上级管控目标</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rPr>
              <w:t>不涉及</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rPr>
              <w:t>不涉及</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rPr>
              <w:t>不涉及</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rPr>
              <w:t>不涉及</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（四）</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生态环境风险防范</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14</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危险废物利用处置率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100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15</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建设用地土壤污染风险管控和修复名录制度</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建立</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建立</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建立</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建立</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16</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突发生态环境事件应急管理机制</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建立</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建立</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建立</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建立</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生态空间</w:t>
            </w:r>
          </w:p>
        </w:tc>
        <w:tc>
          <w:tcPr>
            <w:tcW w:w="3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（五）</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空间格局优化</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17</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自然生态空间</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面积不减少，性质不改变，功能不降低</w:t>
            </w: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生态保护红线</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62.8平方公里；面积不减少，性质不改变，功能不降低</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面积不减少，性质不改变，功能不降低</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面积不减少，性质不改变，功能不降低</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自然保护地</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面积不减少，性质不改变，功能不降低</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面积不减少，性质不改变，功能不降低</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面积不减少，性质不改变，功能不降低</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18</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自然岸线保有率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完成上级管控目标</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19</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河湖岸线保护率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完成上级管控目标</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完成上级管控目标</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b/>
                <w:bCs/>
                <w:sz w:val="21"/>
                <w:highlight w:val="none"/>
              </w:rPr>
            </w:pPr>
            <w:r>
              <w:rPr>
                <w:rFonts w:eastAsia="宋体" w:cs="Times New Roman"/>
                <w:kern w:val="0"/>
                <w:sz w:val="21"/>
                <w:highlight w:val="none"/>
                <w:lang w:bidi="ar"/>
              </w:rPr>
              <w:t>完成上级管控目标</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b/>
                <w:bCs/>
                <w:sz w:val="21"/>
                <w:highlight w:val="none"/>
              </w:rPr>
            </w:pPr>
            <w:r>
              <w:rPr>
                <w:rFonts w:eastAsia="宋体" w:cs="Times New Roman"/>
                <w:kern w:val="0"/>
                <w:sz w:val="21"/>
                <w:highlight w:val="none"/>
                <w:lang w:bidi="ar"/>
              </w:rPr>
              <w:t>完成上级管控目标</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r>
              <w:rPr>
                <w:rFonts w:eastAsia="宋体" w:cs="Times New Roman"/>
                <w:kern w:val="0"/>
                <w:sz w:val="21"/>
                <w:highlight w:val="none"/>
              </w:rPr>
              <w:t>达标</w:t>
            </w:r>
          </w:p>
        </w:tc>
      </w:tr>
      <w:tr>
        <w:tblPrEx>
          <w:tblCellMar>
            <w:top w:w="0" w:type="dxa"/>
            <w:left w:w="108" w:type="dxa"/>
            <w:bottom w:w="0" w:type="dxa"/>
            <w:right w:w="108" w:type="dxa"/>
          </w:tblCellMar>
        </w:tblPrEx>
        <w:trPr>
          <w:trHeight w:val="20" w:hRule="atLeast"/>
        </w:trPr>
        <w:tc>
          <w:tcPr>
            <w:tcW w:w="2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生态经济</w:t>
            </w:r>
          </w:p>
        </w:tc>
        <w:tc>
          <w:tcPr>
            <w:tcW w:w="3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（六）</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资源节约与利用</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20</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单位地区生产总值能耗</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Style w:val="99"/>
                <w:rFonts w:hint="default" w:ascii="Times New Roman" w:hAnsi="Times New Roman" w:cs="Times New Roman"/>
                <w:color w:val="auto"/>
                <w:highlight w:val="none"/>
              </w:rPr>
              <w:t>吨标准煤</w:t>
            </w:r>
            <w:r>
              <w:rPr>
                <w:rFonts w:eastAsia="宋体" w:cs="Times New Roman"/>
                <w:sz w:val="21"/>
                <w:highlight w:val="none"/>
              </w:rPr>
              <w:t>/</w:t>
            </w:r>
            <w:r>
              <w:rPr>
                <w:rStyle w:val="99"/>
                <w:rFonts w:hint="default" w:ascii="Times New Roman" w:hAnsi="Times New Roman" w:cs="Times New Roman"/>
                <w:color w:val="auto"/>
                <w:highlight w:val="none"/>
              </w:rPr>
              <w:t>万元</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Style w:val="99"/>
                <w:rFonts w:hint="default" w:ascii="Times New Roman" w:hAnsi="Times New Roman" w:cs="Times New Roman"/>
                <w:color w:val="auto"/>
                <w:highlight w:val="none"/>
              </w:rPr>
              <w:t>完成上级规定的目标任务；保持稳定或持续改善</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rPr>
                <w:rFonts w:eastAsia="宋体" w:cs="Times New Roman"/>
                <w:kern w:val="0"/>
                <w:sz w:val="21"/>
                <w:highlight w:val="none"/>
                <w:lang w:bidi="ar"/>
              </w:rPr>
            </w:pPr>
            <w:r>
              <w:rPr>
                <w:rFonts w:eastAsia="宋体" w:cs="Times New Roman"/>
                <w:kern w:val="0"/>
                <w:sz w:val="21"/>
                <w:highlight w:val="none"/>
                <w:lang w:bidi="ar"/>
              </w:rPr>
              <w:t>2021-2022年单位地区生产总值能耗累计下降率目标：4.7%；</w:t>
            </w:r>
          </w:p>
          <w:p>
            <w:pPr>
              <w:adjustRightInd w:val="0"/>
              <w:snapToGrid w:val="0"/>
              <w:spacing w:line="240" w:lineRule="auto"/>
              <w:ind w:firstLine="0" w:firstLineChars="0"/>
              <w:rPr>
                <w:rStyle w:val="99"/>
                <w:rFonts w:hint="default" w:ascii="Times New Roman" w:hAnsi="Times New Roman" w:cs="Times New Roman"/>
                <w:color w:val="auto"/>
                <w:highlight w:val="none"/>
              </w:rPr>
            </w:pPr>
            <w:r>
              <w:rPr>
                <w:rFonts w:eastAsia="宋体" w:cs="Times New Roman"/>
                <w:kern w:val="0"/>
                <w:sz w:val="21"/>
                <w:highlight w:val="none"/>
                <w:lang w:bidi="ar"/>
              </w:rPr>
              <w:t>实际：规上工业企业能源消费总量为66977.65吨标准煤，同比下降28.9%</w:t>
            </w:r>
          </w:p>
        </w:tc>
        <w:tc>
          <w:tcPr>
            <w:tcW w:w="539" w:type="pc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Style w:val="99"/>
                <w:rFonts w:hint="default" w:ascii="Times New Roman" w:hAnsi="Times New Roman" w:cs="Times New Roman"/>
                <w:color w:val="auto"/>
                <w:highlight w:val="none"/>
              </w:rPr>
            </w:pPr>
            <w:r>
              <w:rPr>
                <w:rFonts w:eastAsia="宋体" w:cs="Times New Roman"/>
                <w:sz w:val="21"/>
                <w:highlight w:val="none"/>
              </w:rPr>
              <w:t>完成上级规定的目标任务；保持稳定或持续改善</w:t>
            </w:r>
          </w:p>
        </w:tc>
        <w:tc>
          <w:tcPr>
            <w:tcW w:w="539" w:type="pc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Style w:val="99"/>
                <w:rFonts w:hint="default" w:ascii="Times New Roman" w:hAnsi="Times New Roman" w:cs="Times New Roman"/>
                <w:color w:val="auto"/>
                <w:highlight w:val="none"/>
              </w:rPr>
            </w:pPr>
            <w:r>
              <w:rPr>
                <w:rFonts w:eastAsia="宋体" w:cs="Times New Roman"/>
                <w:sz w:val="21"/>
                <w:highlight w:val="none"/>
              </w:rPr>
              <w:t>完成上级规定的目标任务；保持稳定或持续改善</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21</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单位地区生产总值用水量</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Style w:val="99"/>
                <w:rFonts w:hint="default" w:ascii="Times New Roman" w:hAnsi="Times New Roman" w:cs="Times New Roman"/>
                <w:color w:val="auto"/>
                <w:highlight w:val="none"/>
              </w:rPr>
              <w:t>立方米</w:t>
            </w:r>
            <w:r>
              <w:rPr>
                <w:rFonts w:eastAsia="宋体" w:cs="Times New Roman"/>
                <w:sz w:val="21"/>
                <w:highlight w:val="none"/>
              </w:rPr>
              <w:t>/</w:t>
            </w:r>
            <w:r>
              <w:rPr>
                <w:rStyle w:val="99"/>
                <w:rFonts w:hint="default" w:ascii="Times New Roman" w:hAnsi="Times New Roman" w:cs="Times New Roman"/>
                <w:color w:val="auto"/>
                <w:highlight w:val="none"/>
              </w:rPr>
              <w:t>万元</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Style w:val="99"/>
                <w:rFonts w:hint="default" w:ascii="Times New Roman" w:hAnsi="Times New Roman" w:cs="Times New Roman"/>
                <w:color w:val="auto"/>
                <w:highlight w:val="none"/>
              </w:rPr>
              <w:t>完成上级规定的目标任务；保持稳定或持续改善</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rPr>
                <w:rFonts w:eastAsia="宋体" w:cs="Times New Roman"/>
                <w:sz w:val="21"/>
                <w:highlight w:val="none"/>
              </w:rPr>
            </w:pPr>
            <w:r>
              <w:rPr>
                <w:rFonts w:eastAsia="宋体" w:cs="Times New Roman"/>
                <w:sz w:val="21"/>
                <w:highlight w:val="none"/>
                <w:lang w:bidi="ar"/>
              </w:rPr>
              <w:t>19.38 （无上级规定的目标任务）</w:t>
            </w:r>
          </w:p>
        </w:tc>
        <w:tc>
          <w:tcPr>
            <w:tcW w:w="539" w:type="pc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eastAsia="宋体" w:cs="Times New Roman"/>
                <w:kern w:val="0"/>
                <w:sz w:val="21"/>
                <w:highlight w:val="none"/>
              </w:rPr>
            </w:pPr>
            <w:r>
              <w:rPr>
                <w:rFonts w:eastAsia="宋体" w:cs="Times New Roman"/>
                <w:sz w:val="21"/>
                <w:highlight w:val="none"/>
              </w:rPr>
              <w:t>完成上级规定的目标任务；保持稳定或持续改善</w:t>
            </w:r>
          </w:p>
        </w:tc>
        <w:tc>
          <w:tcPr>
            <w:tcW w:w="539" w:type="pc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eastAsia="宋体" w:cs="Times New Roman"/>
                <w:kern w:val="0"/>
                <w:sz w:val="21"/>
                <w:highlight w:val="none"/>
              </w:rPr>
            </w:pPr>
            <w:r>
              <w:rPr>
                <w:rFonts w:eastAsia="宋体" w:cs="Times New Roman"/>
                <w:sz w:val="21"/>
                <w:highlight w:val="none"/>
              </w:rPr>
              <w:t>完成上级规定的目标任务；保持稳定或持续改善</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22</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单位国内生产总值建设用地使用面积下降率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Style w:val="110"/>
                <w:rFonts w:eastAsia="宋体"/>
                <w:color w:val="auto"/>
                <w:highlight w:val="none"/>
              </w:rPr>
            </w:pPr>
            <w:r>
              <w:rPr>
                <w:rStyle w:val="110"/>
                <w:rFonts w:eastAsia="宋体"/>
                <w:color w:val="auto"/>
                <w:highlight w:val="none"/>
              </w:rPr>
              <w:t>≥4.5</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3.45</w:t>
            </w:r>
          </w:p>
        </w:tc>
        <w:tc>
          <w:tcPr>
            <w:tcW w:w="539" w:type="pct"/>
            <w:tcBorders>
              <w:top w:val="single" w:color="000000" w:sz="4" w:space="0"/>
              <w:left w:val="single" w:color="000000" w:sz="4" w:space="0"/>
              <w:bottom w:val="single" w:color="auto" w:sz="4" w:space="0"/>
              <w:right w:val="single" w:color="000000" w:sz="4" w:space="0"/>
            </w:tcBorders>
            <w:vAlign w:val="center"/>
          </w:tcPr>
          <w:p>
            <w:pPr>
              <w:spacing w:line="240" w:lineRule="auto"/>
              <w:ind w:firstLine="0" w:firstLineChars="0"/>
              <w:jc w:val="center"/>
              <w:rPr>
                <w:rFonts w:eastAsia="宋体" w:cs="Times New Roman"/>
                <w:kern w:val="0"/>
                <w:sz w:val="21"/>
                <w:highlight w:val="none"/>
              </w:rPr>
            </w:pPr>
            <w:r>
              <w:rPr>
                <w:rStyle w:val="110"/>
                <w:rFonts w:eastAsia="宋体"/>
                <w:color w:val="auto"/>
                <w:highlight w:val="none"/>
              </w:rPr>
              <w:t>≥4.5</w:t>
            </w:r>
          </w:p>
        </w:tc>
        <w:tc>
          <w:tcPr>
            <w:tcW w:w="539" w:type="pct"/>
            <w:tcBorders>
              <w:top w:val="single" w:color="000000" w:sz="4" w:space="0"/>
              <w:left w:val="single" w:color="000000" w:sz="4" w:space="0"/>
              <w:bottom w:val="single" w:color="auto" w:sz="4" w:space="0"/>
              <w:right w:val="single" w:color="000000" w:sz="4" w:space="0"/>
            </w:tcBorders>
            <w:vAlign w:val="center"/>
          </w:tcPr>
          <w:p>
            <w:pPr>
              <w:spacing w:line="240" w:lineRule="auto"/>
              <w:ind w:firstLine="0" w:firstLineChars="0"/>
              <w:jc w:val="center"/>
              <w:rPr>
                <w:rFonts w:eastAsia="宋体" w:cs="Times New Roman"/>
                <w:kern w:val="0"/>
                <w:sz w:val="21"/>
                <w:highlight w:val="none"/>
              </w:rPr>
            </w:pPr>
            <w:r>
              <w:rPr>
                <w:rStyle w:val="110"/>
                <w:rFonts w:eastAsia="宋体"/>
                <w:color w:val="auto"/>
                <w:highlight w:val="none"/>
              </w:rPr>
              <w:t>≥4.5</w:t>
            </w:r>
          </w:p>
        </w:tc>
        <w:tc>
          <w:tcPr>
            <w:tcW w:w="398" w:type="pct"/>
            <w:tcBorders>
              <w:top w:val="single" w:color="000000" w:sz="4" w:space="0"/>
              <w:left w:val="single" w:color="000000" w:sz="4" w:space="0"/>
              <w:bottom w:val="single" w:color="auto"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未达标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lang w:bidi="ar"/>
              </w:rPr>
            </w:pPr>
            <w:r>
              <w:rPr>
                <w:rFonts w:eastAsia="宋体" w:cs="Times New Roman"/>
                <w:kern w:val="0"/>
                <w:sz w:val="21"/>
                <w:highlight w:val="none"/>
                <w:lang w:bidi="ar"/>
              </w:rPr>
              <w:t>23</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单位地区生产总值二氧化碳排放</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textAlignment w:val="center"/>
              <w:rPr>
                <w:rFonts w:eastAsia="宋体" w:cs="Times New Roman"/>
                <w:sz w:val="21"/>
                <w:highlight w:val="none"/>
                <w:lang w:bidi="ar"/>
              </w:rPr>
            </w:pPr>
            <w:r>
              <w:rPr>
                <w:rFonts w:eastAsia="宋体" w:cs="Times New Roman"/>
                <w:sz w:val="21"/>
                <w:highlight w:val="none"/>
                <w:lang w:bidi="ar"/>
              </w:rPr>
              <w:t>吨/万元</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Style w:val="99"/>
                <w:rFonts w:hint="default" w:ascii="Times New Roman" w:hAnsi="Times New Roman" w:cs="Times New Roman"/>
                <w:color w:val="auto"/>
                <w:highlight w:val="none"/>
              </w:rPr>
              <w:t>完成上级规定的目标任务；保持稳定或持续改善</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39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24</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应当实施强制性清洁生产企业通过审核的比例</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textAlignment w:val="center"/>
              <w:rPr>
                <w:rFonts w:eastAsia="宋体" w:cs="Times New Roman"/>
                <w:sz w:val="21"/>
                <w:highlight w:val="none"/>
                <w:lang w:bidi="ar"/>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完成年度审核</w:t>
            </w:r>
            <w:r>
              <w:rPr>
                <w:rStyle w:val="99"/>
                <w:rFonts w:hint="default" w:ascii="Times New Roman" w:hAnsi="Times New Roman" w:cs="Times New Roman"/>
                <w:color w:val="auto"/>
                <w:highlight w:val="none"/>
              </w:rPr>
              <w:t>计划</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39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25</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化肥农药减量化</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lang w:bidi="ar"/>
              </w:rPr>
              <w:t>千克/亩</w:t>
            </w:r>
          </w:p>
        </w:tc>
        <w:tc>
          <w:tcPr>
            <w:tcW w:w="4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减少</w:t>
            </w: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eastAsia="宋体" w:cs="Times New Roman"/>
                <w:sz w:val="21"/>
                <w:highlight w:val="none"/>
              </w:rPr>
            </w:pPr>
          </w:p>
        </w:tc>
        <w:tc>
          <w:tcPr>
            <w:tcW w:w="539"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eastAsia="宋体" w:cs="Times New Roman"/>
                <w:sz w:val="21"/>
                <w:highlight w:val="none"/>
              </w:rPr>
            </w:pPr>
          </w:p>
        </w:tc>
        <w:tc>
          <w:tcPr>
            <w:tcW w:w="398" w:type="pc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eastAsia="宋体" w:cs="Times New Roman"/>
                <w:sz w:val="21"/>
                <w:highlight w:val="none"/>
              </w:rPr>
            </w:pP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主要农作物化肥亩均施用量</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120.62</w:t>
            </w:r>
          </w:p>
        </w:tc>
        <w:tc>
          <w:tcPr>
            <w:tcW w:w="539" w:type="pct"/>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减少</w:t>
            </w:r>
          </w:p>
        </w:tc>
        <w:tc>
          <w:tcPr>
            <w:tcW w:w="539" w:type="pct"/>
            <w:vMerge w:val="restart"/>
            <w:tcBorders>
              <w:top w:val="single" w:color="auto" w:sz="4" w:space="0"/>
              <w:left w:val="single" w:color="auto" w:sz="4" w:space="0"/>
              <w:bottom w:val="single" w:color="auto" w:sz="4" w:space="0"/>
              <w:right w:val="single" w:color="auto"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减少</w:t>
            </w:r>
          </w:p>
        </w:tc>
        <w:tc>
          <w:tcPr>
            <w:tcW w:w="398"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主要农作物农药亩均使用量</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宋体" w:cs="Times New Roman"/>
                <w:sz w:val="21"/>
                <w:highlight w:val="none"/>
              </w:rPr>
            </w:pPr>
            <w:r>
              <w:rPr>
                <w:rFonts w:eastAsia="宋体" w:cs="Times New Roman"/>
                <w:sz w:val="21"/>
                <w:highlight w:val="none"/>
              </w:rPr>
              <w:t>4.78</w:t>
            </w:r>
          </w:p>
        </w:tc>
        <w:tc>
          <w:tcPr>
            <w:tcW w:w="539" w:type="pct"/>
            <w:vMerge w:val="continue"/>
            <w:tcBorders>
              <w:top w:val="single" w:color="auto"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c>
          <w:tcPr>
            <w:tcW w:w="539" w:type="pct"/>
            <w:vMerge w:val="continue"/>
            <w:tcBorders>
              <w:top w:val="single" w:color="auto"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c>
          <w:tcPr>
            <w:tcW w:w="398" w:type="pct"/>
            <w:vMerge w:val="continue"/>
            <w:tcBorders>
              <w:top w:val="single" w:color="auto" w:sz="4" w:space="0"/>
              <w:left w:val="single" w:color="000000" w:sz="4" w:space="0"/>
              <w:bottom w:val="single" w:color="000000" w:sz="4" w:space="0"/>
              <w:right w:val="single" w:color="auto" w:sz="4" w:space="0"/>
            </w:tcBorders>
            <w:vAlign w:val="center"/>
          </w:tcPr>
          <w:p>
            <w:pPr>
              <w:adjustRightInd w:val="0"/>
              <w:spacing w:line="240" w:lineRule="auto"/>
              <w:ind w:firstLine="0" w:firstLineChars="0"/>
              <w:jc w:val="center"/>
              <w:rPr>
                <w:rFonts w:eastAsia="宋体" w:cs="Times New Roman"/>
                <w:sz w:val="21"/>
                <w:highlight w:val="none"/>
              </w:rPr>
            </w:pP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（七）</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产业循环发展</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26</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农业废弃物综合利用率</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Style w:val="110"/>
                <w:rFonts w:eastAsia="宋体"/>
                <w:color w:val="auto"/>
                <w:highlight w:val="none"/>
              </w:rPr>
            </w:pP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秸秆综合利用率</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Style w:val="110"/>
                <w:rFonts w:eastAsia="宋体"/>
                <w:color w:val="auto"/>
                <w:highlight w:val="none"/>
              </w:rPr>
            </w:pPr>
            <w:r>
              <w:rPr>
                <w:rFonts w:eastAsia="宋体" w:cs="Times New Roman"/>
                <w:sz w:val="21"/>
                <w:highlight w:val="none"/>
              </w:rPr>
              <w:t>≥90</w:t>
            </w: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93.66</w:t>
            </w:r>
          </w:p>
        </w:tc>
        <w:tc>
          <w:tcPr>
            <w:tcW w:w="539" w:type="pc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94</w:t>
            </w:r>
          </w:p>
        </w:tc>
        <w:tc>
          <w:tcPr>
            <w:tcW w:w="539" w:type="pc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9</w:t>
            </w:r>
            <w:r>
              <w:rPr>
                <w:rFonts w:hint="eastAsia" w:eastAsia="宋体" w:cs="Times New Roman"/>
                <w:sz w:val="21"/>
                <w:highlight w:val="none"/>
              </w:rPr>
              <w:t>5</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畜禽粪污综合利用率</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Style w:val="110"/>
                <w:rFonts w:eastAsia="宋体"/>
                <w:color w:val="auto"/>
                <w:highlight w:val="none"/>
              </w:rPr>
            </w:pPr>
            <w:r>
              <w:rPr>
                <w:rFonts w:eastAsia="宋体" w:cs="Times New Roman"/>
                <w:sz w:val="21"/>
                <w:highlight w:val="none"/>
              </w:rPr>
              <w:t>≥75</w:t>
            </w: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95.56</w:t>
            </w:r>
          </w:p>
        </w:tc>
        <w:tc>
          <w:tcPr>
            <w:tcW w:w="539" w:type="pc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96</w:t>
            </w:r>
          </w:p>
        </w:tc>
        <w:tc>
          <w:tcPr>
            <w:tcW w:w="539" w:type="pct"/>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9</w:t>
            </w:r>
            <w:r>
              <w:rPr>
                <w:rFonts w:hint="eastAsia" w:eastAsia="宋体" w:cs="Times New Roman"/>
                <w:sz w:val="21"/>
                <w:highlight w:val="none"/>
              </w:rPr>
              <w:t>7</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农膜回收利用率</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Style w:val="110"/>
                <w:rFonts w:eastAsia="宋体"/>
                <w:color w:val="auto"/>
                <w:highlight w:val="none"/>
              </w:rPr>
            </w:pPr>
            <w:r>
              <w:rPr>
                <w:rFonts w:eastAsia="宋体" w:cs="Times New Roman"/>
                <w:sz w:val="21"/>
                <w:highlight w:val="none"/>
              </w:rPr>
              <w:t>≥80</w:t>
            </w: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eastAsia="宋体" w:cs="Times New Roman"/>
                <w:sz w:val="21"/>
                <w:highlight w:val="none"/>
              </w:rPr>
            </w:pPr>
            <w:r>
              <w:rPr>
                <w:rFonts w:eastAsia="宋体" w:cs="Times New Roman"/>
                <w:sz w:val="21"/>
                <w:highlight w:val="none"/>
              </w:rPr>
              <w:t>98.30</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eastAsia="宋体" w:cs="Times New Roman"/>
                <w:sz w:val="21"/>
                <w:highlight w:val="none"/>
              </w:rPr>
            </w:pPr>
            <w:r>
              <w:rPr>
                <w:rFonts w:eastAsia="宋体" w:cs="Times New Roman"/>
                <w:sz w:val="21"/>
                <w:highlight w:val="none"/>
              </w:rPr>
              <w:t>99</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27</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一般工业固体废物综合利用率提高幅度</w:t>
            </w:r>
          </w:p>
        </w:tc>
        <w:tc>
          <w:tcPr>
            <w:tcW w:w="2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2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综合利用率＞60%的地区</w:t>
            </w:r>
          </w:p>
        </w:tc>
        <w:tc>
          <w:tcPr>
            <w:tcW w:w="2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保持稳定或持续改善</w:t>
            </w:r>
          </w:p>
        </w:tc>
        <w:tc>
          <w:tcPr>
            <w:tcW w:w="3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539" w:type="pct"/>
            <w:tcBorders>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lang w:bidi="ar"/>
              </w:rPr>
              <w:t>综合利用率为93.25，提高幅度为330.02%</w:t>
            </w:r>
          </w:p>
        </w:tc>
        <w:tc>
          <w:tcPr>
            <w:tcW w:w="539" w:type="pct"/>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保持稳定或持续改善</w:t>
            </w:r>
          </w:p>
        </w:tc>
        <w:tc>
          <w:tcPr>
            <w:tcW w:w="539" w:type="pct"/>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保持稳定或持续改善</w:t>
            </w:r>
          </w:p>
        </w:tc>
        <w:tc>
          <w:tcPr>
            <w:tcW w:w="398" w:type="pct"/>
            <w:tcBorders>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生态生活</w:t>
            </w:r>
          </w:p>
        </w:tc>
        <w:tc>
          <w:tcPr>
            <w:tcW w:w="357"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（八）</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人居环境改善</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28</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集中式饮用水水源地水质优良比例</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100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29</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村镇饮用水卫生合格率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100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kern w:val="0"/>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30</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城镇污水处理率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县≥85</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31</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农村生活污水治理率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≥50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88.78</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89</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90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32</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城镇生活垃圾无害化处理率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县≥80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33</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农村生活垃圾无害化处理村占比</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≥80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34</w:t>
            </w:r>
          </w:p>
        </w:tc>
        <w:tc>
          <w:tcPr>
            <w:tcW w:w="976"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城镇人均公园绿地面积</w:t>
            </w:r>
          </w:p>
        </w:tc>
        <w:tc>
          <w:tcPr>
            <w:tcW w:w="235"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平方米/人</w:t>
            </w:r>
          </w:p>
        </w:tc>
        <w:tc>
          <w:tcPr>
            <w:tcW w:w="492"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sz w:val="21"/>
                <w:highlight w:val="none"/>
              </w:rPr>
              <w:t>≥15</w:t>
            </w:r>
          </w:p>
        </w:tc>
        <w:tc>
          <w:tcPr>
            <w:tcW w:w="392"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000000" w:sz="4" w:space="0"/>
              <w:left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000000" w:sz="4" w:space="0"/>
              <w:left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398" w:type="pct"/>
            <w:tcBorders>
              <w:top w:val="single" w:color="000000" w:sz="4" w:space="0"/>
              <w:left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r>
      <w:tr>
        <w:tblPrEx>
          <w:tblCellMar>
            <w:top w:w="0" w:type="dxa"/>
            <w:left w:w="108" w:type="dxa"/>
            <w:bottom w:w="0" w:type="dxa"/>
            <w:right w:w="108" w:type="dxa"/>
          </w:tblCellMar>
        </w:tblPrEx>
        <w:trPr>
          <w:trHeight w:val="658"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left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35</w:t>
            </w:r>
          </w:p>
        </w:tc>
        <w:tc>
          <w:tcPr>
            <w:tcW w:w="976"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农村无害化卫生厕所普及率</w:t>
            </w:r>
          </w:p>
        </w:tc>
        <w:tc>
          <w:tcPr>
            <w:tcW w:w="235"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完成上级规定的目标任务</w:t>
            </w:r>
          </w:p>
        </w:tc>
        <w:tc>
          <w:tcPr>
            <w:tcW w:w="392" w:type="pc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lang w:bidi="ar"/>
              </w:rPr>
              <w:t>完成上年度的目标任务</w:t>
            </w:r>
          </w:p>
        </w:tc>
        <w:tc>
          <w:tcPr>
            <w:tcW w:w="539" w:type="pct"/>
            <w:tcBorders>
              <w:top w:val="single" w:color="000000" w:sz="4" w:space="0"/>
              <w:left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完成上年度的目标任务</w:t>
            </w:r>
          </w:p>
        </w:tc>
        <w:tc>
          <w:tcPr>
            <w:tcW w:w="539" w:type="pct"/>
            <w:tcBorders>
              <w:top w:val="single" w:color="000000" w:sz="4" w:space="0"/>
              <w:left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kern w:val="0"/>
                <w:sz w:val="21"/>
                <w:highlight w:val="none"/>
                <w:lang w:bidi="ar"/>
              </w:rPr>
              <w:t>完成上年度的目标任务</w:t>
            </w:r>
          </w:p>
        </w:tc>
        <w:tc>
          <w:tcPr>
            <w:tcW w:w="398" w:type="pct"/>
            <w:tcBorders>
              <w:top w:val="single" w:color="000000" w:sz="4" w:space="0"/>
              <w:left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38"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（九）</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生活方式绿色化</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36</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城镇新建绿色建筑比例</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≥50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37</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公共交通出行分担率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超、特大城市≥70</w:t>
            </w:r>
          </w:p>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大城市≥60</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中小城市≥50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38</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城镇生活垃圾分类减量化行动</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实施</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实施</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实施</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kern w:val="0"/>
                <w:sz w:val="21"/>
                <w:highlight w:val="none"/>
              </w:rPr>
              <w:t>实施</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387"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39</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绿色产品市场占有率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p>
          <w:p>
            <w:pPr>
              <w:adjustRightInd w:val="0"/>
              <w:spacing w:line="240" w:lineRule="auto"/>
              <w:ind w:firstLine="0" w:firstLineChars="0"/>
              <w:jc w:val="center"/>
              <w:rPr>
                <w:rFonts w:eastAsia="宋体" w:cs="Times New Roman"/>
                <w:sz w:val="21"/>
                <w:highlight w:val="none"/>
              </w:rPr>
            </w:pP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p>
        </w:tc>
        <w:tc>
          <w:tcPr>
            <w:tcW w:w="392" w:type="pct"/>
            <w:vMerge w:val="restart"/>
            <w:tcBorders>
              <w:top w:val="single" w:color="auto" w:sz="4" w:space="0"/>
              <w:left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vMerge w:val="restart"/>
            <w:tcBorders>
              <w:top w:val="single" w:color="000000" w:sz="4" w:space="0"/>
              <w:left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vMerge w:val="restart"/>
            <w:tcBorders>
              <w:top w:val="single" w:color="000000" w:sz="4" w:space="0"/>
              <w:left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539" w:type="pct"/>
            <w:vMerge w:val="restart"/>
            <w:tcBorders>
              <w:top w:val="single" w:color="000000" w:sz="4" w:space="0"/>
              <w:left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c>
          <w:tcPr>
            <w:tcW w:w="398" w:type="pct"/>
            <w:vMerge w:val="restart"/>
            <w:tcBorders>
              <w:top w:val="single" w:color="000000" w:sz="4" w:space="0"/>
              <w:left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sz w:val="21"/>
                <w:highlight w:val="none"/>
              </w:rPr>
            </w:pPr>
            <w:r>
              <w:rPr>
                <w:rFonts w:eastAsia="宋体" w:cs="Times New Roman"/>
                <w:sz w:val="21"/>
                <w:highlight w:val="none"/>
              </w:rPr>
              <w:t>不涉及</w:t>
            </w:r>
          </w:p>
        </w:tc>
      </w:tr>
      <w:tr>
        <w:tblPrEx>
          <w:tblCellMar>
            <w:top w:w="0" w:type="dxa"/>
            <w:left w:w="108" w:type="dxa"/>
            <w:bottom w:w="0" w:type="dxa"/>
            <w:right w:w="108" w:type="dxa"/>
          </w:tblCellMar>
        </w:tblPrEx>
        <w:trPr>
          <w:trHeight w:val="387"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39"/>
              <w:rPr>
                <w:rFonts w:hint="default" w:ascii="Times New Roman" w:hAnsi="Times New Roman" w:eastAsia="宋体"/>
                <w:color w:val="auto"/>
                <w:sz w:val="21"/>
                <w:szCs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39"/>
              <w:rPr>
                <w:rFonts w:hint="default" w:ascii="Times New Roman" w:hAnsi="Times New Roman" w:eastAsia="宋体"/>
                <w:color w:val="auto"/>
                <w:sz w:val="21"/>
                <w:szCs w:val="21"/>
                <w:highlight w:val="none"/>
              </w:rPr>
            </w:pPr>
          </w:p>
        </w:tc>
        <w:tc>
          <w:tcPr>
            <w:tcW w:w="236" w:type="pct"/>
            <w:vMerge w:val="continue"/>
            <w:tcBorders>
              <w:left w:val="single" w:color="auto" w:sz="4" w:space="0"/>
              <w:right w:val="single" w:color="auto" w:sz="4" w:space="0"/>
            </w:tcBorders>
            <w:shd w:val="clear" w:color="auto" w:fill="auto"/>
            <w:vAlign w:val="center"/>
          </w:tcPr>
          <w:p>
            <w:pPr>
              <w:pStyle w:val="39"/>
              <w:rPr>
                <w:rFonts w:hint="default" w:ascii="Times New Roman" w:hAnsi="Times New Roman" w:eastAsia="宋体"/>
                <w:color w:val="auto"/>
                <w:sz w:val="21"/>
                <w:szCs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节能家电市场占有率</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≥50</w:t>
            </w:r>
          </w:p>
        </w:tc>
        <w:tc>
          <w:tcPr>
            <w:tcW w:w="392" w:type="pct"/>
            <w:vMerge w:val="continue"/>
            <w:tcBorders>
              <w:left w:val="single" w:color="auto" w:sz="4" w:space="0"/>
              <w:right w:val="single" w:color="auto" w:sz="4" w:space="0"/>
            </w:tcBorders>
            <w:shd w:val="clear" w:color="auto" w:fill="auto"/>
            <w:vAlign w:val="center"/>
          </w:tcPr>
          <w:p>
            <w:pPr>
              <w:pStyle w:val="39"/>
              <w:rPr>
                <w:rFonts w:hint="default" w:ascii="Times New Roman" w:hAnsi="Times New Roman" w:eastAsia="宋体"/>
                <w:color w:val="auto"/>
                <w:sz w:val="21"/>
                <w:szCs w:val="21"/>
                <w:highlight w:val="none"/>
              </w:rPr>
            </w:pPr>
          </w:p>
        </w:tc>
        <w:tc>
          <w:tcPr>
            <w:tcW w:w="539" w:type="pct"/>
            <w:vMerge w:val="continue"/>
            <w:tcBorders>
              <w:left w:val="single" w:color="000000" w:sz="4" w:space="0"/>
              <w:right w:val="single" w:color="000000" w:sz="4" w:space="0"/>
            </w:tcBorders>
            <w:shd w:val="clear" w:color="auto" w:fill="auto"/>
            <w:vAlign w:val="center"/>
          </w:tcPr>
          <w:p>
            <w:pPr>
              <w:pStyle w:val="39"/>
              <w:rPr>
                <w:rFonts w:hint="default" w:ascii="Times New Roman" w:hAnsi="Times New Roman" w:eastAsia="宋体"/>
                <w:color w:val="auto"/>
                <w:sz w:val="21"/>
                <w:szCs w:val="21"/>
                <w:highlight w:val="none"/>
              </w:rPr>
            </w:pPr>
          </w:p>
        </w:tc>
        <w:tc>
          <w:tcPr>
            <w:tcW w:w="539" w:type="pct"/>
            <w:vMerge w:val="continue"/>
            <w:tcBorders>
              <w:left w:val="single" w:color="000000" w:sz="4" w:space="0"/>
              <w:right w:val="single" w:color="000000" w:sz="4" w:space="0"/>
            </w:tcBorders>
            <w:vAlign w:val="center"/>
          </w:tcPr>
          <w:p>
            <w:pPr>
              <w:pStyle w:val="39"/>
              <w:rPr>
                <w:rFonts w:hint="default" w:ascii="Times New Roman" w:hAnsi="Times New Roman" w:eastAsia="宋体"/>
                <w:color w:val="auto"/>
                <w:sz w:val="21"/>
                <w:szCs w:val="21"/>
                <w:highlight w:val="none"/>
              </w:rPr>
            </w:pPr>
          </w:p>
        </w:tc>
        <w:tc>
          <w:tcPr>
            <w:tcW w:w="539" w:type="pct"/>
            <w:vMerge w:val="continue"/>
            <w:tcBorders>
              <w:left w:val="single" w:color="000000" w:sz="4" w:space="0"/>
              <w:right w:val="single" w:color="000000" w:sz="4" w:space="0"/>
            </w:tcBorders>
            <w:vAlign w:val="center"/>
          </w:tcPr>
          <w:p>
            <w:pPr>
              <w:pStyle w:val="39"/>
              <w:rPr>
                <w:rFonts w:hint="default" w:ascii="Times New Roman" w:hAnsi="Times New Roman" w:eastAsia="宋体"/>
                <w:color w:val="auto"/>
                <w:sz w:val="21"/>
                <w:szCs w:val="21"/>
                <w:highlight w:val="none"/>
              </w:rPr>
            </w:pPr>
          </w:p>
        </w:tc>
        <w:tc>
          <w:tcPr>
            <w:tcW w:w="398" w:type="pct"/>
            <w:vMerge w:val="continue"/>
            <w:tcBorders>
              <w:left w:val="single" w:color="000000" w:sz="4" w:space="0"/>
              <w:right w:val="single" w:color="000000" w:sz="4" w:space="0"/>
            </w:tcBorders>
            <w:vAlign w:val="center"/>
          </w:tcPr>
          <w:p>
            <w:pPr>
              <w:pStyle w:val="39"/>
              <w:rPr>
                <w:rFonts w:hint="default" w:ascii="Times New Roman" w:hAnsi="Times New Roman" w:eastAsia="宋体"/>
                <w:color w:val="auto"/>
                <w:sz w:val="21"/>
                <w:szCs w:val="21"/>
                <w:highlight w:val="none"/>
              </w:rPr>
            </w:pPr>
          </w:p>
        </w:tc>
      </w:tr>
      <w:tr>
        <w:tblPrEx>
          <w:tblCellMar>
            <w:top w:w="0" w:type="dxa"/>
            <w:left w:w="108" w:type="dxa"/>
            <w:bottom w:w="0" w:type="dxa"/>
            <w:right w:w="108" w:type="dxa"/>
          </w:tblCellMar>
        </w:tblPrEx>
        <w:trPr>
          <w:trHeight w:val="387"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39"/>
              <w:rPr>
                <w:rFonts w:hint="default" w:ascii="Times New Roman" w:hAnsi="Times New Roman" w:eastAsia="宋体"/>
                <w:color w:val="auto"/>
                <w:sz w:val="21"/>
                <w:szCs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39"/>
              <w:rPr>
                <w:rFonts w:hint="default" w:ascii="Times New Roman" w:hAnsi="Times New Roman" w:eastAsia="宋体"/>
                <w:color w:val="auto"/>
                <w:sz w:val="21"/>
                <w:szCs w:val="21"/>
                <w:highlight w:val="none"/>
              </w:rPr>
            </w:pPr>
          </w:p>
        </w:tc>
        <w:tc>
          <w:tcPr>
            <w:tcW w:w="236" w:type="pct"/>
            <w:vMerge w:val="continue"/>
            <w:tcBorders>
              <w:left w:val="single" w:color="auto" w:sz="4" w:space="0"/>
              <w:right w:val="single" w:color="auto" w:sz="4" w:space="0"/>
            </w:tcBorders>
            <w:shd w:val="clear" w:color="auto" w:fill="auto"/>
            <w:vAlign w:val="center"/>
          </w:tcPr>
          <w:p>
            <w:pPr>
              <w:pStyle w:val="39"/>
              <w:rPr>
                <w:rFonts w:hint="default" w:ascii="Times New Roman" w:hAnsi="Times New Roman" w:eastAsia="宋体"/>
                <w:color w:val="auto"/>
                <w:sz w:val="21"/>
                <w:szCs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eastAsia="宋体" w:cs="Times New Roman"/>
                <w:sz w:val="21"/>
                <w:highlight w:val="none"/>
              </w:rPr>
            </w:pPr>
            <w:r>
              <w:rPr>
                <w:rFonts w:eastAsia="宋体" w:cs="Times New Roman"/>
                <w:sz w:val="21"/>
                <w:highlight w:val="none"/>
              </w:rPr>
              <w:t>在售用水器具中节水型器具占比</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w:t>
            </w:r>
          </w:p>
          <w:p>
            <w:pPr>
              <w:adjustRightInd w:val="0"/>
              <w:spacing w:line="240" w:lineRule="auto"/>
              <w:ind w:firstLine="0" w:firstLineChars="0"/>
              <w:jc w:val="center"/>
              <w:rPr>
                <w:rFonts w:eastAsia="宋体" w:cs="Times New Roman"/>
                <w:sz w:val="21"/>
                <w:highlight w:val="none"/>
              </w:rPr>
            </w:pP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100</w:t>
            </w:r>
          </w:p>
        </w:tc>
        <w:tc>
          <w:tcPr>
            <w:tcW w:w="392" w:type="pct"/>
            <w:vMerge w:val="continue"/>
            <w:tcBorders>
              <w:left w:val="single" w:color="auto" w:sz="4" w:space="0"/>
              <w:right w:val="single" w:color="auto" w:sz="4" w:space="0"/>
            </w:tcBorders>
            <w:shd w:val="clear" w:color="auto" w:fill="auto"/>
            <w:vAlign w:val="center"/>
          </w:tcPr>
          <w:p>
            <w:pPr>
              <w:pStyle w:val="39"/>
              <w:rPr>
                <w:rFonts w:hint="default" w:ascii="Times New Roman" w:hAnsi="Times New Roman" w:eastAsia="宋体"/>
                <w:color w:val="auto"/>
                <w:sz w:val="21"/>
                <w:szCs w:val="21"/>
                <w:highlight w:val="none"/>
              </w:rPr>
            </w:pPr>
          </w:p>
        </w:tc>
        <w:tc>
          <w:tcPr>
            <w:tcW w:w="539" w:type="pct"/>
            <w:vMerge w:val="continue"/>
            <w:tcBorders>
              <w:left w:val="single" w:color="000000" w:sz="4" w:space="0"/>
              <w:right w:val="single" w:color="000000" w:sz="4" w:space="0"/>
            </w:tcBorders>
            <w:shd w:val="clear" w:color="auto" w:fill="auto"/>
            <w:vAlign w:val="center"/>
          </w:tcPr>
          <w:p>
            <w:pPr>
              <w:pStyle w:val="39"/>
              <w:rPr>
                <w:rFonts w:hint="default" w:ascii="Times New Roman" w:hAnsi="Times New Roman" w:eastAsia="宋体"/>
                <w:color w:val="auto"/>
                <w:sz w:val="21"/>
                <w:szCs w:val="21"/>
                <w:highlight w:val="none"/>
              </w:rPr>
            </w:pPr>
          </w:p>
        </w:tc>
        <w:tc>
          <w:tcPr>
            <w:tcW w:w="539" w:type="pct"/>
            <w:vMerge w:val="continue"/>
            <w:tcBorders>
              <w:left w:val="single" w:color="000000" w:sz="4" w:space="0"/>
              <w:right w:val="single" w:color="000000" w:sz="4" w:space="0"/>
            </w:tcBorders>
            <w:vAlign w:val="center"/>
          </w:tcPr>
          <w:p>
            <w:pPr>
              <w:pStyle w:val="39"/>
              <w:rPr>
                <w:rFonts w:hint="default" w:ascii="Times New Roman" w:hAnsi="Times New Roman" w:eastAsia="宋体"/>
                <w:color w:val="auto"/>
                <w:sz w:val="21"/>
                <w:szCs w:val="21"/>
                <w:highlight w:val="none"/>
              </w:rPr>
            </w:pPr>
          </w:p>
        </w:tc>
        <w:tc>
          <w:tcPr>
            <w:tcW w:w="539" w:type="pct"/>
            <w:vMerge w:val="continue"/>
            <w:tcBorders>
              <w:left w:val="single" w:color="000000" w:sz="4" w:space="0"/>
              <w:right w:val="single" w:color="000000" w:sz="4" w:space="0"/>
            </w:tcBorders>
            <w:vAlign w:val="center"/>
          </w:tcPr>
          <w:p>
            <w:pPr>
              <w:pStyle w:val="39"/>
              <w:rPr>
                <w:rFonts w:hint="default" w:ascii="Times New Roman" w:hAnsi="Times New Roman" w:eastAsia="宋体"/>
                <w:color w:val="auto"/>
                <w:sz w:val="21"/>
                <w:szCs w:val="21"/>
                <w:highlight w:val="none"/>
              </w:rPr>
            </w:pPr>
          </w:p>
        </w:tc>
        <w:tc>
          <w:tcPr>
            <w:tcW w:w="398" w:type="pct"/>
            <w:vMerge w:val="continue"/>
            <w:tcBorders>
              <w:left w:val="single" w:color="000000" w:sz="4" w:space="0"/>
              <w:right w:val="single" w:color="000000" w:sz="4" w:space="0"/>
            </w:tcBorders>
            <w:vAlign w:val="center"/>
          </w:tcPr>
          <w:p>
            <w:pPr>
              <w:pStyle w:val="39"/>
              <w:rPr>
                <w:rFonts w:hint="default" w:ascii="Times New Roman" w:hAnsi="Times New Roman" w:eastAsia="宋体"/>
                <w:color w:val="auto"/>
                <w:sz w:val="21"/>
                <w:szCs w:val="21"/>
                <w:highlight w:val="none"/>
              </w:rPr>
            </w:pPr>
          </w:p>
        </w:tc>
      </w:tr>
      <w:tr>
        <w:tblPrEx>
          <w:tblCellMar>
            <w:top w:w="0" w:type="dxa"/>
            <w:left w:w="108" w:type="dxa"/>
            <w:bottom w:w="0" w:type="dxa"/>
            <w:right w:w="108" w:type="dxa"/>
          </w:tblCellMar>
        </w:tblPrEx>
        <w:trPr>
          <w:trHeight w:val="387" w:hRule="atLeast"/>
        </w:trPr>
        <w:tc>
          <w:tcPr>
            <w:tcW w:w="294" w:type="pct"/>
            <w:vMerge w:val="continue"/>
            <w:tcBorders>
              <w:left w:val="single" w:color="auto" w:sz="4" w:space="0"/>
              <w:bottom w:val="single" w:color="auto" w:sz="4" w:space="0"/>
              <w:right w:val="single" w:color="auto" w:sz="4" w:space="0"/>
            </w:tcBorders>
            <w:shd w:val="clear" w:color="auto" w:fill="auto"/>
            <w:noWrap/>
            <w:vAlign w:val="center"/>
          </w:tcPr>
          <w:p>
            <w:pPr>
              <w:pStyle w:val="39"/>
              <w:rPr>
                <w:rFonts w:hint="default" w:ascii="Times New Roman" w:hAnsi="Times New Roman" w:eastAsia="宋体"/>
                <w:color w:val="auto"/>
                <w:sz w:val="21"/>
                <w:szCs w:val="21"/>
                <w:highlight w:val="none"/>
              </w:rPr>
            </w:pPr>
          </w:p>
        </w:tc>
        <w:tc>
          <w:tcPr>
            <w:tcW w:w="357" w:type="pct"/>
            <w:vMerge w:val="continue"/>
            <w:tcBorders>
              <w:left w:val="single" w:color="auto" w:sz="4" w:space="0"/>
              <w:bottom w:val="single" w:color="auto" w:sz="4" w:space="0"/>
              <w:right w:val="single" w:color="auto" w:sz="4" w:space="0"/>
            </w:tcBorders>
            <w:shd w:val="clear" w:color="auto" w:fill="auto"/>
            <w:noWrap/>
            <w:vAlign w:val="center"/>
          </w:tcPr>
          <w:p>
            <w:pPr>
              <w:pStyle w:val="39"/>
              <w:rPr>
                <w:rFonts w:hint="default" w:ascii="Times New Roman" w:hAnsi="Times New Roman" w:eastAsia="宋体"/>
                <w:color w:val="auto"/>
                <w:sz w:val="21"/>
                <w:szCs w:val="21"/>
                <w:highlight w:val="none"/>
              </w:rPr>
            </w:pPr>
          </w:p>
        </w:tc>
        <w:tc>
          <w:tcPr>
            <w:tcW w:w="236" w:type="pct"/>
            <w:vMerge w:val="continue"/>
            <w:tcBorders>
              <w:left w:val="single" w:color="auto" w:sz="4" w:space="0"/>
              <w:bottom w:val="single" w:color="auto" w:sz="4" w:space="0"/>
              <w:right w:val="single" w:color="auto" w:sz="4" w:space="0"/>
            </w:tcBorders>
            <w:shd w:val="clear" w:color="auto" w:fill="auto"/>
            <w:vAlign w:val="center"/>
          </w:tcPr>
          <w:p>
            <w:pPr>
              <w:pStyle w:val="39"/>
              <w:rPr>
                <w:rFonts w:hint="default" w:ascii="Times New Roman" w:hAnsi="Times New Roman" w:eastAsia="宋体"/>
                <w:color w:val="auto"/>
                <w:sz w:val="21"/>
                <w:szCs w:val="21"/>
                <w:highlight w:val="none"/>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9"/>
              <w:jc w:val="center"/>
              <w:rPr>
                <w:rFonts w:hint="default" w:ascii="Times New Roman" w:hAnsi="Times New Roman" w:eastAsia="宋体"/>
                <w:color w:val="auto"/>
                <w:sz w:val="21"/>
                <w:szCs w:val="21"/>
                <w:highlight w:val="none"/>
              </w:rPr>
            </w:pPr>
            <w:r>
              <w:rPr>
                <w:rFonts w:hint="default" w:ascii="Times New Roman" w:hAnsi="Times New Roman" w:eastAsia="宋体"/>
                <w:color w:val="auto"/>
                <w:kern w:val="2"/>
                <w:sz w:val="21"/>
                <w:szCs w:val="21"/>
                <w:highlight w:val="none"/>
              </w:rPr>
              <w:t>一次性消费品人均使用量</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千克</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逐步下降</w:t>
            </w:r>
          </w:p>
        </w:tc>
        <w:tc>
          <w:tcPr>
            <w:tcW w:w="392" w:type="pct"/>
            <w:vMerge w:val="continue"/>
            <w:tcBorders>
              <w:left w:val="single" w:color="auto" w:sz="4" w:space="0"/>
              <w:bottom w:val="single" w:color="auto" w:sz="4" w:space="0"/>
              <w:right w:val="single" w:color="auto" w:sz="4" w:space="0"/>
            </w:tcBorders>
            <w:shd w:val="clear" w:color="auto" w:fill="auto"/>
            <w:vAlign w:val="center"/>
          </w:tcPr>
          <w:p>
            <w:pPr>
              <w:pStyle w:val="39"/>
              <w:rPr>
                <w:rFonts w:hint="default" w:ascii="Times New Roman" w:hAnsi="Times New Roman" w:eastAsia="宋体"/>
                <w:color w:val="auto"/>
                <w:sz w:val="21"/>
                <w:szCs w:val="21"/>
                <w:highlight w:val="none"/>
              </w:rPr>
            </w:pPr>
          </w:p>
        </w:tc>
        <w:tc>
          <w:tcPr>
            <w:tcW w:w="539" w:type="pct"/>
            <w:vMerge w:val="continue"/>
            <w:tcBorders>
              <w:left w:val="single" w:color="000000" w:sz="4" w:space="0"/>
              <w:bottom w:val="single" w:color="000000" w:sz="4" w:space="0"/>
              <w:right w:val="single" w:color="000000" w:sz="4" w:space="0"/>
            </w:tcBorders>
            <w:shd w:val="clear" w:color="auto" w:fill="auto"/>
            <w:vAlign w:val="center"/>
          </w:tcPr>
          <w:p>
            <w:pPr>
              <w:pStyle w:val="39"/>
              <w:rPr>
                <w:rFonts w:hint="default" w:ascii="Times New Roman" w:hAnsi="Times New Roman" w:eastAsia="宋体"/>
                <w:color w:val="auto"/>
                <w:sz w:val="21"/>
                <w:szCs w:val="21"/>
                <w:highlight w:val="none"/>
              </w:rPr>
            </w:pPr>
          </w:p>
        </w:tc>
        <w:tc>
          <w:tcPr>
            <w:tcW w:w="539" w:type="pct"/>
            <w:vMerge w:val="continue"/>
            <w:tcBorders>
              <w:left w:val="single" w:color="000000" w:sz="4" w:space="0"/>
              <w:bottom w:val="single" w:color="000000" w:sz="4" w:space="0"/>
              <w:right w:val="single" w:color="000000" w:sz="4" w:space="0"/>
            </w:tcBorders>
            <w:vAlign w:val="center"/>
          </w:tcPr>
          <w:p>
            <w:pPr>
              <w:pStyle w:val="39"/>
              <w:rPr>
                <w:rFonts w:hint="default" w:ascii="Times New Roman" w:hAnsi="Times New Roman" w:eastAsia="宋体"/>
                <w:color w:val="auto"/>
                <w:sz w:val="21"/>
                <w:szCs w:val="21"/>
                <w:highlight w:val="none"/>
              </w:rPr>
            </w:pPr>
          </w:p>
        </w:tc>
        <w:tc>
          <w:tcPr>
            <w:tcW w:w="539" w:type="pct"/>
            <w:vMerge w:val="continue"/>
            <w:tcBorders>
              <w:left w:val="single" w:color="000000" w:sz="4" w:space="0"/>
              <w:bottom w:val="single" w:color="000000" w:sz="4" w:space="0"/>
              <w:right w:val="single" w:color="000000" w:sz="4" w:space="0"/>
            </w:tcBorders>
            <w:vAlign w:val="center"/>
          </w:tcPr>
          <w:p>
            <w:pPr>
              <w:pStyle w:val="39"/>
              <w:rPr>
                <w:rFonts w:hint="default" w:ascii="Times New Roman" w:hAnsi="Times New Roman" w:eastAsia="宋体"/>
                <w:color w:val="auto"/>
                <w:sz w:val="21"/>
                <w:szCs w:val="21"/>
                <w:highlight w:val="none"/>
              </w:rPr>
            </w:pPr>
          </w:p>
        </w:tc>
        <w:tc>
          <w:tcPr>
            <w:tcW w:w="398" w:type="pct"/>
            <w:vMerge w:val="continue"/>
            <w:tcBorders>
              <w:left w:val="single" w:color="000000" w:sz="4" w:space="0"/>
              <w:bottom w:val="single" w:color="000000" w:sz="4" w:space="0"/>
              <w:right w:val="single" w:color="000000" w:sz="4" w:space="0"/>
            </w:tcBorders>
            <w:vAlign w:val="center"/>
          </w:tcPr>
          <w:p>
            <w:pPr>
              <w:pStyle w:val="39"/>
              <w:rPr>
                <w:rFonts w:hint="default" w:ascii="Times New Roman" w:hAnsi="Times New Roman" w:eastAsia="宋体"/>
                <w:color w:val="auto"/>
                <w:sz w:val="21"/>
                <w:szCs w:val="21"/>
                <w:highlight w:val="none"/>
              </w:rPr>
            </w:pP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40</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政府绿色采购比例</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≥80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约束性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rPr>
              <w:t>99.46</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eastAsia="宋体" w:cs="Times New Roman"/>
                <w:kern w:val="0"/>
                <w:sz w:val="21"/>
                <w:highlight w:val="none"/>
              </w:rPr>
            </w:pPr>
            <w:r>
              <w:rPr>
                <w:rFonts w:eastAsia="宋体" w:cs="Times New Roman"/>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生态文化</w:t>
            </w:r>
          </w:p>
        </w:tc>
        <w:tc>
          <w:tcPr>
            <w:tcW w:w="3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kern w:val="0"/>
                <w:sz w:val="21"/>
                <w:highlight w:val="none"/>
              </w:rPr>
            </w:pPr>
            <w:r>
              <w:rPr>
                <w:rFonts w:eastAsia="宋体" w:cs="Times New Roman"/>
                <w:kern w:val="0"/>
                <w:sz w:val="21"/>
                <w:highlight w:val="none"/>
              </w:rPr>
              <w:t>（十）</w:t>
            </w:r>
          </w:p>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观念意识普及</w:t>
            </w: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41</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党政领导干部参加生态文明培训的人数比例</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100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pacing w:line="240" w:lineRule="auto"/>
              <w:ind w:firstLine="0" w:firstLineChars="0"/>
              <w:jc w:val="center"/>
              <w:rPr>
                <w:rFonts w:eastAsia="宋体" w:cs="Times New Roman"/>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100</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kern w:val="0"/>
                <w:sz w:val="21"/>
                <w:highlight w:val="none"/>
              </w:rPr>
            </w:pPr>
            <w:r>
              <w:rPr>
                <w:rFonts w:eastAsia="宋体" w:cs="Times New Roman"/>
                <w:sz w:val="21"/>
                <w:highlight w:val="none"/>
              </w:rPr>
              <w:t>100</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42</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公众对生态文明建设的满意度</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≥80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b/>
                <w:bCs/>
                <w:sz w:val="21"/>
                <w:highlight w:val="none"/>
              </w:rPr>
            </w:pPr>
            <w:r>
              <w:rPr>
                <w:rFonts w:eastAsia="宋体" w:cs="Times New Roman"/>
                <w:sz w:val="21"/>
                <w:highlight w:val="none"/>
              </w:rPr>
              <w:t>97.85</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textAlignment w:val="center"/>
              <w:rPr>
                <w:rFonts w:eastAsia="宋体" w:cs="Times New Roman"/>
                <w:b/>
                <w:bCs/>
                <w:sz w:val="21"/>
                <w:highlight w:val="none"/>
              </w:rPr>
            </w:pPr>
            <w:r>
              <w:rPr>
                <w:rFonts w:eastAsia="宋体" w:cs="Times New Roman"/>
                <w:kern w:val="0"/>
                <w:sz w:val="21"/>
                <w:highlight w:val="none"/>
                <w:lang w:bidi="ar"/>
              </w:rPr>
              <w:t>≥</w:t>
            </w:r>
            <w:r>
              <w:rPr>
                <w:rFonts w:eastAsia="宋体" w:cs="Times New Roman"/>
                <w:sz w:val="21"/>
                <w:highlight w:val="none"/>
              </w:rPr>
              <w:t>98</w:t>
            </w:r>
          </w:p>
        </w:tc>
        <w:tc>
          <w:tcPr>
            <w:tcW w:w="5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textAlignment w:val="center"/>
              <w:rPr>
                <w:rFonts w:eastAsia="宋体" w:cs="Times New Roman"/>
                <w:b/>
                <w:bCs/>
                <w:sz w:val="21"/>
                <w:highlight w:val="none"/>
              </w:rPr>
            </w:pPr>
            <w:r>
              <w:rPr>
                <w:rFonts w:eastAsia="宋体" w:cs="Times New Roman"/>
                <w:kern w:val="0"/>
                <w:sz w:val="21"/>
                <w:highlight w:val="none"/>
                <w:lang w:bidi="ar"/>
              </w:rPr>
              <w:t>≥</w:t>
            </w:r>
            <w:r>
              <w:rPr>
                <w:rFonts w:eastAsia="宋体" w:cs="Times New Roman"/>
                <w:sz w:val="21"/>
                <w:highlight w:val="none"/>
              </w:rPr>
              <w:t>99</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r>
              <w:rPr>
                <w:rFonts w:eastAsia="宋体" w:cs="Times New Roman"/>
                <w:sz w:val="21"/>
                <w:highlight w:val="none"/>
              </w:rPr>
              <w:t>达标</w:t>
            </w:r>
          </w:p>
        </w:tc>
      </w:tr>
      <w:tr>
        <w:tblPrEx>
          <w:tblCellMar>
            <w:top w:w="0" w:type="dxa"/>
            <w:left w:w="108" w:type="dxa"/>
            <w:bottom w:w="0" w:type="dxa"/>
            <w:right w:w="108" w:type="dxa"/>
          </w:tblCellMar>
        </w:tblPrEx>
        <w:trPr>
          <w:trHeight w:val="20" w:hRule="atLeast"/>
        </w:trPr>
        <w:tc>
          <w:tcPr>
            <w:tcW w:w="2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p>
        </w:tc>
        <w:tc>
          <w:tcPr>
            <w:tcW w:w="35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pacing w:line="240" w:lineRule="auto"/>
              <w:ind w:firstLine="0" w:firstLineChars="0"/>
              <w:jc w:val="center"/>
              <w:rPr>
                <w:rFonts w:eastAsia="宋体" w:cs="Times New Roman"/>
                <w:sz w:val="21"/>
                <w:highlight w:val="none"/>
              </w:rPr>
            </w:pPr>
          </w:p>
        </w:tc>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43</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公众对生态文明建设的参与度</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kern w:val="0"/>
                <w:sz w:val="21"/>
                <w:highlight w:val="none"/>
              </w:rPr>
              <w:t>≥80</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uto"/>
              <w:ind w:firstLine="0" w:firstLineChars="0"/>
              <w:jc w:val="center"/>
              <w:textAlignment w:val="center"/>
              <w:rPr>
                <w:rFonts w:eastAsia="宋体" w:cs="Times New Roman"/>
                <w:sz w:val="21"/>
                <w:highlight w:val="none"/>
              </w:rPr>
            </w:pPr>
            <w:r>
              <w:rPr>
                <w:rFonts w:eastAsia="宋体" w:cs="Times New Roman"/>
                <w:sz w:val="21"/>
                <w:highlight w:val="none"/>
              </w:rPr>
              <w:t>参考性</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40" w:lineRule="auto"/>
              <w:ind w:firstLine="0" w:firstLineChars="0"/>
              <w:jc w:val="center"/>
              <w:rPr>
                <w:rFonts w:eastAsia="宋体" w:cs="Times New Roman"/>
                <w:b/>
                <w:bCs/>
                <w:sz w:val="21"/>
                <w:highlight w:val="none"/>
              </w:rPr>
            </w:pPr>
            <w:r>
              <w:rPr>
                <w:rFonts w:eastAsia="宋体" w:cs="Times New Roman"/>
                <w:sz w:val="21"/>
                <w:highlight w:val="none"/>
              </w:rPr>
              <w:t>89.56</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eastAsia="宋体" w:cs="Times New Roman"/>
                <w:b/>
                <w:bCs/>
                <w:sz w:val="21"/>
                <w:highlight w:val="none"/>
              </w:rPr>
            </w:pPr>
            <w:r>
              <w:rPr>
                <w:rFonts w:eastAsia="宋体" w:cs="Times New Roman"/>
                <w:kern w:val="0"/>
                <w:sz w:val="21"/>
                <w:highlight w:val="none"/>
                <w:lang w:bidi="ar"/>
              </w:rPr>
              <w:t>≥</w:t>
            </w:r>
            <w:r>
              <w:rPr>
                <w:rFonts w:eastAsia="宋体" w:cs="Times New Roman"/>
                <w:sz w:val="21"/>
                <w:highlight w:val="none"/>
              </w:rPr>
              <w:t>90</w:t>
            </w:r>
          </w:p>
        </w:tc>
        <w:tc>
          <w:tcPr>
            <w:tcW w:w="53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ind w:firstLine="0" w:firstLineChars="0"/>
              <w:jc w:val="center"/>
              <w:textAlignment w:val="center"/>
              <w:rPr>
                <w:rFonts w:eastAsia="宋体" w:cs="Times New Roman"/>
                <w:b/>
                <w:bCs/>
                <w:sz w:val="21"/>
                <w:highlight w:val="none"/>
              </w:rPr>
            </w:pPr>
            <w:r>
              <w:rPr>
                <w:rFonts w:eastAsia="宋体" w:cs="Times New Roman"/>
                <w:kern w:val="0"/>
                <w:sz w:val="21"/>
                <w:highlight w:val="none"/>
                <w:lang w:bidi="ar"/>
              </w:rPr>
              <w:t>≥</w:t>
            </w:r>
            <w:r>
              <w:rPr>
                <w:rFonts w:eastAsia="宋体" w:cs="Times New Roman"/>
                <w:sz w:val="21"/>
                <w:highlight w:val="none"/>
              </w:rPr>
              <w:t>92</w:t>
            </w:r>
          </w:p>
        </w:tc>
        <w:tc>
          <w:tcPr>
            <w:tcW w:w="398" w:type="pct"/>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ind w:firstLine="0" w:firstLineChars="0"/>
              <w:jc w:val="center"/>
              <w:rPr>
                <w:rFonts w:eastAsia="宋体" w:cs="Times New Roman"/>
                <w:b/>
                <w:bCs/>
                <w:sz w:val="21"/>
                <w:highlight w:val="none"/>
              </w:rPr>
            </w:pPr>
            <w:r>
              <w:rPr>
                <w:rFonts w:eastAsia="宋体" w:cs="Times New Roman"/>
                <w:sz w:val="21"/>
                <w:highlight w:val="none"/>
              </w:rPr>
              <w:t>达标</w:t>
            </w:r>
          </w:p>
        </w:tc>
      </w:tr>
    </w:tbl>
    <w:p>
      <w:pPr>
        <w:pStyle w:val="39"/>
        <w:ind w:firstLine="420"/>
        <w:rPr>
          <w:rFonts w:hint="default"/>
          <w:color w:val="auto"/>
          <w:highlight w:val="none"/>
        </w:rPr>
        <w:sectPr>
          <w:pgSz w:w="16838" w:h="11906" w:orient="landscape"/>
          <w:pgMar w:top="1800" w:right="1440" w:bottom="1800" w:left="1440" w:header="851" w:footer="992" w:gutter="0"/>
          <w:cols w:space="425" w:num="1"/>
          <w:docGrid w:type="lines" w:linePitch="326" w:charSpace="0"/>
        </w:sectPr>
      </w:pPr>
    </w:p>
    <w:p>
      <w:pPr>
        <w:pStyle w:val="2"/>
        <w:rPr>
          <w:highlight w:val="none"/>
        </w:rPr>
      </w:pPr>
      <w:bookmarkStart w:id="141" w:name="_Toc13236"/>
      <w:bookmarkStart w:id="142" w:name="_Toc26823"/>
      <w:bookmarkStart w:id="143" w:name="_Toc25100"/>
      <w:bookmarkStart w:id="144" w:name="_Toc11156"/>
      <w:bookmarkStart w:id="145" w:name="_Toc143041429"/>
      <w:bookmarkStart w:id="146" w:name="_Toc15299"/>
      <w:r>
        <w:rPr>
          <w:rFonts w:hint="eastAsia"/>
          <w:highlight w:val="none"/>
        </w:rPr>
        <w:t>生态制度体系建设规划</w:t>
      </w:r>
      <w:bookmarkEnd w:id="141"/>
      <w:bookmarkEnd w:id="142"/>
      <w:bookmarkEnd w:id="143"/>
      <w:bookmarkEnd w:id="144"/>
      <w:bookmarkEnd w:id="145"/>
      <w:bookmarkEnd w:id="146"/>
    </w:p>
    <w:p>
      <w:pPr>
        <w:pStyle w:val="3"/>
        <w:rPr>
          <w:b/>
          <w:bCs w:val="0"/>
          <w:highlight w:val="none"/>
        </w:rPr>
      </w:pPr>
      <w:bookmarkStart w:id="147" w:name="_Toc27907"/>
      <w:bookmarkStart w:id="148" w:name="_Toc25719"/>
      <w:bookmarkStart w:id="149" w:name="_Toc18267"/>
      <w:bookmarkStart w:id="150" w:name="_Toc4794"/>
      <w:bookmarkStart w:id="151" w:name="_Toc143041430"/>
      <w:r>
        <w:rPr>
          <w:rFonts w:hint="eastAsia"/>
          <w:b/>
          <w:bCs w:val="0"/>
          <w:highlight w:val="none"/>
        </w:rPr>
        <w:t>强化生态环保</w:t>
      </w:r>
      <w:r>
        <w:rPr>
          <w:b/>
          <w:bCs w:val="0"/>
          <w:highlight w:val="none"/>
        </w:rPr>
        <w:t>制度顶层设计</w:t>
      </w:r>
      <w:bookmarkEnd w:id="147"/>
      <w:bookmarkEnd w:id="148"/>
      <w:bookmarkEnd w:id="149"/>
    </w:p>
    <w:p>
      <w:pPr>
        <w:pStyle w:val="4"/>
        <w:spacing w:before="156"/>
        <w:rPr>
          <w:highlight w:val="none"/>
        </w:rPr>
      </w:pPr>
      <w:r>
        <w:rPr>
          <w:rFonts w:hint="eastAsia"/>
          <w:highlight w:val="none"/>
        </w:rPr>
        <w:t>完善</w:t>
      </w:r>
      <w:r>
        <w:rPr>
          <w:highlight w:val="none"/>
        </w:rPr>
        <w:t>环境保护管理制度</w:t>
      </w:r>
    </w:p>
    <w:p>
      <w:pPr>
        <w:ind w:firstLine="562"/>
        <w:rPr>
          <w:highlight w:val="none"/>
        </w:rPr>
      </w:pPr>
      <w:r>
        <w:rPr>
          <w:rFonts w:hint="eastAsia"/>
          <w:b/>
          <w:bCs/>
          <w:szCs w:val="30"/>
          <w:highlight w:val="none"/>
        </w:rPr>
        <w:t>健全</w:t>
      </w:r>
      <w:r>
        <w:rPr>
          <w:b/>
          <w:bCs/>
          <w:szCs w:val="30"/>
          <w:highlight w:val="none"/>
        </w:rPr>
        <w:t>生态环境保护长效管理机制。</w:t>
      </w:r>
      <w:r>
        <w:rPr>
          <w:szCs w:val="30"/>
          <w:highlight w:val="none"/>
        </w:rPr>
        <w:t>构建协调保障机制、宣传发动机制、问题发现机制、攻坚克难机制、督办考核机制和责任倒查机制等六个方面的生态环境保护长效管理机制。</w:t>
      </w:r>
      <w:r>
        <w:rPr>
          <w:highlight w:val="none"/>
        </w:rPr>
        <w:t>健全</w:t>
      </w:r>
      <w:r>
        <w:rPr>
          <w:rFonts w:hint="eastAsia"/>
          <w:highlight w:val="none"/>
        </w:rPr>
        <w:t>“</w:t>
      </w:r>
      <w:r>
        <w:rPr>
          <w:highlight w:val="none"/>
        </w:rPr>
        <w:t>统一监管、分工负责</w:t>
      </w:r>
      <w:r>
        <w:rPr>
          <w:rFonts w:hint="eastAsia"/>
          <w:highlight w:val="none"/>
        </w:rPr>
        <w:t>”</w:t>
      </w:r>
      <w:r>
        <w:rPr>
          <w:highlight w:val="none"/>
        </w:rPr>
        <w:t>和</w:t>
      </w:r>
      <w:r>
        <w:rPr>
          <w:rFonts w:hint="eastAsia"/>
          <w:highlight w:val="none"/>
        </w:rPr>
        <w:t>“</w:t>
      </w:r>
      <w:r>
        <w:rPr>
          <w:highlight w:val="none"/>
        </w:rPr>
        <w:t>国家监察、地方监管、单位负责</w:t>
      </w:r>
      <w:r>
        <w:rPr>
          <w:rFonts w:hint="eastAsia"/>
          <w:highlight w:val="none"/>
        </w:rPr>
        <w:t>”</w:t>
      </w:r>
      <w:r>
        <w:rPr>
          <w:highlight w:val="none"/>
        </w:rPr>
        <w:t>的监管体系，有序整合不同领域、不同部门、不同层次的监管力量，有效进行环境监管和行政执法。</w:t>
      </w:r>
      <w:r>
        <w:rPr>
          <w:rFonts w:hint="eastAsia"/>
          <w:highlight w:val="none"/>
        </w:rPr>
        <w:t>健全</w:t>
      </w:r>
      <w:r>
        <w:rPr>
          <w:highlight w:val="none"/>
        </w:rPr>
        <w:t xml:space="preserve">统一监管所有污染物排放的环境保护管理制度，对工业点源、农业面源、交通移动源等全部污染源排放的所有污染物，对大气、土壤、地表水、地下水等所有纳污介质，加强统一监管。 </w:t>
      </w:r>
    </w:p>
    <w:p>
      <w:pPr>
        <w:ind w:firstLine="562"/>
        <w:rPr>
          <w:szCs w:val="30"/>
          <w:highlight w:val="none"/>
        </w:rPr>
      </w:pPr>
      <w:bookmarkStart w:id="152" w:name="_Hlk137751214"/>
      <w:r>
        <w:rPr>
          <w:b/>
          <w:bCs/>
          <w:szCs w:val="30"/>
          <w:highlight w:val="none"/>
        </w:rPr>
        <w:t>健全节能减排和环境准入体系。</w:t>
      </w:r>
      <w:r>
        <w:rPr>
          <w:szCs w:val="30"/>
          <w:highlight w:val="none"/>
        </w:rPr>
        <w:t>推进工业、</w:t>
      </w:r>
      <w:r>
        <w:rPr>
          <w:rFonts w:hint="eastAsia"/>
          <w:szCs w:val="30"/>
          <w:highlight w:val="none"/>
        </w:rPr>
        <w:t>服务业、</w:t>
      </w:r>
      <w:r>
        <w:rPr>
          <w:szCs w:val="30"/>
          <w:highlight w:val="none"/>
        </w:rPr>
        <w:t>交通、住建、能源等领域节能减排，强化环境准入机制，根据环境容量逐步提高产业准入环境标准，严格控制</w:t>
      </w:r>
      <w:r>
        <w:rPr>
          <w:rFonts w:hint="eastAsia"/>
          <w:szCs w:val="30"/>
          <w:highlight w:val="none"/>
        </w:rPr>
        <w:t>“</w:t>
      </w:r>
      <w:r>
        <w:rPr>
          <w:szCs w:val="30"/>
          <w:highlight w:val="none"/>
        </w:rPr>
        <w:t>两高</w:t>
      </w:r>
      <w:r>
        <w:rPr>
          <w:rFonts w:hint="eastAsia"/>
          <w:szCs w:val="30"/>
          <w:highlight w:val="none"/>
        </w:rPr>
        <w:t>”</w:t>
      </w:r>
      <w:r>
        <w:rPr>
          <w:szCs w:val="30"/>
          <w:highlight w:val="none"/>
        </w:rPr>
        <w:t>项目准入。以</w:t>
      </w:r>
      <w:r>
        <w:rPr>
          <w:rFonts w:hint="eastAsia"/>
          <w:szCs w:val="30"/>
          <w:highlight w:val="none"/>
        </w:rPr>
        <w:t>“</w:t>
      </w:r>
      <w:r>
        <w:rPr>
          <w:szCs w:val="30"/>
          <w:highlight w:val="none"/>
        </w:rPr>
        <w:t>三线一单</w:t>
      </w:r>
      <w:r>
        <w:rPr>
          <w:rFonts w:hint="eastAsia"/>
          <w:szCs w:val="30"/>
          <w:highlight w:val="none"/>
        </w:rPr>
        <w:t>”</w:t>
      </w:r>
      <w:r>
        <w:rPr>
          <w:szCs w:val="30"/>
          <w:highlight w:val="none"/>
        </w:rPr>
        <w:t>为手段，强化空间、总量、准入环境管理，优化</w:t>
      </w:r>
      <w:r>
        <w:rPr>
          <w:rFonts w:hint="eastAsia"/>
          <w:szCs w:val="30"/>
          <w:highlight w:val="none"/>
        </w:rPr>
        <w:t>全区</w:t>
      </w:r>
      <w:r>
        <w:rPr>
          <w:szCs w:val="30"/>
          <w:highlight w:val="none"/>
        </w:rPr>
        <w:t>行业布局、规模和结构，指导项目环境准入。</w:t>
      </w:r>
    </w:p>
    <w:p>
      <w:pPr>
        <w:ind w:firstLine="562"/>
        <w:rPr>
          <w:szCs w:val="30"/>
          <w:highlight w:val="none"/>
        </w:rPr>
      </w:pPr>
      <w:r>
        <w:rPr>
          <w:b/>
          <w:bCs/>
          <w:szCs w:val="30"/>
          <w:highlight w:val="none"/>
        </w:rPr>
        <w:t>严格落实排污许可制度。</w:t>
      </w:r>
      <w:r>
        <w:rPr>
          <w:szCs w:val="30"/>
          <w:highlight w:val="none"/>
        </w:rPr>
        <w:t>整合、衔接、优化环境影响评价、总量控制等管理制度，将排污许可建设成为固定污染源环境管理的核心制度。</w:t>
      </w:r>
      <w:r>
        <w:rPr>
          <w:rFonts w:hint="eastAsia"/>
          <w:szCs w:val="30"/>
          <w:highlight w:val="none"/>
        </w:rPr>
        <w:t>监督</w:t>
      </w:r>
      <w:r>
        <w:rPr>
          <w:szCs w:val="30"/>
          <w:highlight w:val="none"/>
        </w:rPr>
        <w:t>企业做到持证排污、按证排污，在全国排污许可证管理信息平台上及时填报自行监测记录、台账记录及执行报告。</w:t>
      </w:r>
    </w:p>
    <w:p>
      <w:pPr>
        <w:ind w:firstLine="562"/>
        <w:rPr>
          <w:szCs w:val="30"/>
          <w:highlight w:val="none"/>
        </w:rPr>
      </w:pPr>
      <w:r>
        <w:rPr>
          <w:b/>
          <w:bCs/>
          <w:szCs w:val="30"/>
          <w:highlight w:val="none"/>
        </w:rPr>
        <w:t>加强规划环境影响评价。</w:t>
      </w:r>
      <w:r>
        <w:rPr>
          <w:szCs w:val="30"/>
          <w:highlight w:val="none"/>
        </w:rPr>
        <w:t>严格限制审批涉及饮用水源保护区、自然保护区、重要生态功能区等环境敏感区的建设项目；强化交通及重要基础设施、各类开发区及工业园区、矿产资源开发规划环评。</w:t>
      </w:r>
    </w:p>
    <w:p>
      <w:pPr>
        <w:ind w:firstLine="562"/>
        <w:rPr>
          <w:highlight w:val="none"/>
        </w:rPr>
      </w:pPr>
      <w:r>
        <w:rPr>
          <w:b/>
          <w:bCs/>
          <w:szCs w:val="30"/>
          <w:highlight w:val="none"/>
        </w:rPr>
        <w:t>完善生态环境信息公开制度。</w:t>
      </w:r>
      <w:r>
        <w:rPr>
          <w:szCs w:val="30"/>
          <w:highlight w:val="none"/>
        </w:rPr>
        <w:t>全面开展环境信息公开工作，</w:t>
      </w:r>
      <w:r>
        <w:rPr>
          <w:highlight w:val="none"/>
        </w:rPr>
        <w:t>扩大政府环境信息主动公开的范围，规范和畅通信息公开的渠道。制定环境信息公开管理办法及环境信息公开年度计划，完善环境信息公开流程和审批制度，逐月公布人民群众和新闻媒体反映的环境案件处理情况，确保环境信息公开率</w:t>
      </w:r>
      <w:r>
        <w:rPr>
          <w:rFonts w:hint="eastAsia"/>
          <w:highlight w:val="none"/>
        </w:rPr>
        <w:t>保持</w:t>
      </w:r>
      <w:r>
        <w:rPr>
          <w:highlight w:val="none"/>
        </w:rPr>
        <w:t>100%。</w:t>
      </w:r>
    </w:p>
    <w:bookmarkEnd w:id="152"/>
    <w:p>
      <w:pPr>
        <w:pStyle w:val="4"/>
        <w:spacing w:before="156"/>
        <w:rPr>
          <w:highlight w:val="none"/>
        </w:rPr>
      </w:pPr>
      <w:r>
        <w:rPr>
          <w:rFonts w:hint="eastAsia"/>
          <w:highlight w:val="none"/>
        </w:rPr>
        <w:t>健全</w:t>
      </w:r>
      <w:r>
        <w:rPr>
          <w:rFonts w:hint="eastAsia" w:ascii="仿宋" w:hAnsi="仿宋" w:eastAsia="仿宋"/>
          <w:highlight w:val="none"/>
        </w:rPr>
        <w:t>全过程环境监管体系</w:t>
      </w:r>
      <w:r>
        <w:rPr>
          <w:highlight w:val="none"/>
        </w:rPr>
        <w:t xml:space="preserve"> </w:t>
      </w:r>
    </w:p>
    <w:p>
      <w:pPr>
        <w:ind w:firstLine="560"/>
        <w:rPr>
          <w:rFonts w:ascii="仿宋" w:hAnsi="仿宋" w:eastAsia="仿宋" w:cs="Times New Roman"/>
          <w:szCs w:val="32"/>
          <w:highlight w:val="none"/>
        </w:rPr>
      </w:pPr>
      <w:r>
        <w:rPr>
          <w:rFonts w:hint="eastAsia" w:ascii="仿宋" w:hAnsi="仿宋" w:eastAsia="仿宋" w:cs="Times New Roman"/>
          <w:szCs w:val="32"/>
          <w:highlight w:val="none"/>
        </w:rPr>
        <w:t>建立“源头严防、过程严管、损害赔偿、责任追究”的全过程生态环境监管体系。</w:t>
      </w:r>
      <w:r>
        <w:rPr>
          <w:highlight w:val="none"/>
        </w:rPr>
        <w:t>在污染防治、生态保护、核与辐射安全以及环境影响评价、环境执法、环境监测预警</w:t>
      </w:r>
      <w:r>
        <w:rPr>
          <w:rFonts w:hint="eastAsia"/>
          <w:highlight w:val="none"/>
        </w:rPr>
        <w:t>、应急</w:t>
      </w:r>
      <w:r>
        <w:rPr>
          <w:highlight w:val="none"/>
        </w:rPr>
        <w:t>等领域和方面，制定科学规范的制度，为实行统一监管和提升执法效能提供保障。</w:t>
      </w:r>
    </w:p>
    <w:p>
      <w:pPr>
        <w:ind w:firstLine="562"/>
        <w:rPr>
          <w:szCs w:val="30"/>
          <w:highlight w:val="none"/>
        </w:rPr>
      </w:pPr>
      <w:r>
        <w:rPr>
          <w:b/>
          <w:bCs/>
          <w:szCs w:val="30"/>
          <w:highlight w:val="none"/>
        </w:rPr>
        <w:t>完善生态环境</w:t>
      </w:r>
      <w:r>
        <w:rPr>
          <w:rFonts w:hint="eastAsia"/>
          <w:b/>
          <w:bCs/>
          <w:szCs w:val="30"/>
          <w:highlight w:val="none"/>
        </w:rPr>
        <w:t>治理</w:t>
      </w:r>
      <w:r>
        <w:rPr>
          <w:b/>
          <w:bCs/>
          <w:szCs w:val="30"/>
          <w:highlight w:val="none"/>
        </w:rPr>
        <w:t>监管体系。</w:t>
      </w:r>
      <w:r>
        <w:rPr>
          <w:szCs w:val="30"/>
          <w:highlight w:val="none"/>
        </w:rPr>
        <w:t>建立协调高效的生态环境监管机制和生态环境保护督察常态化机制，依托</w:t>
      </w:r>
      <w:r>
        <w:rPr>
          <w:rFonts w:hint="eastAsia"/>
          <w:szCs w:val="30"/>
          <w:highlight w:val="none"/>
        </w:rPr>
        <w:t>一河（湖）一策制度建设工程、环境监测能力提升工程、环境监管能力建设工程、生物多样性监测工程</w:t>
      </w:r>
      <w:r>
        <w:rPr>
          <w:szCs w:val="30"/>
          <w:highlight w:val="none"/>
        </w:rPr>
        <w:t>等重点项目，建立监测与监管联动的测管协同机制，</w:t>
      </w:r>
      <w:r>
        <w:rPr>
          <w:rFonts w:hint="eastAsia"/>
          <w:szCs w:val="30"/>
          <w:highlight w:val="none"/>
        </w:rPr>
        <w:t>强化监测能力建设，实现环境质量、污染源和生态状况监测全覆盖。</w:t>
      </w:r>
      <w:r>
        <w:rPr>
          <w:szCs w:val="30"/>
          <w:highlight w:val="none"/>
        </w:rPr>
        <w:t>完善环境执法与环境监测联席会议制度，加强生态环境监测结果应用。</w:t>
      </w:r>
    </w:p>
    <w:p>
      <w:pPr>
        <w:ind w:firstLine="562"/>
        <w:rPr>
          <w:szCs w:val="30"/>
          <w:highlight w:val="none"/>
        </w:rPr>
      </w:pPr>
      <w:r>
        <w:rPr>
          <w:b/>
          <w:bCs/>
          <w:szCs w:val="30"/>
          <w:highlight w:val="none"/>
        </w:rPr>
        <w:t>不断加强环境应急与执法能力。</w:t>
      </w:r>
      <w:r>
        <w:rPr>
          <w:highlight w:val="none"/>
        </w:rPr>
        <w:t>加强环境监察队伍建设，</w:t>
      </w:r>
      <w:r>
        <w:rPr>
          <w:rFonts w:hint="eastAsia"/>
          <w:highlight w:val="none"/>
        </w:rPr>
        <w:t>推进</w:t>
      </w:r>
      <w:r>
        <w:rPr>
          <w:szCs w:val="30"/>
          <w:highlight w:val="none"/>
        </w:rPr>
        <w:t>部门联动分工协作、信息共享</w:t>
      </w:r>
      <w:r>
        <w:rPr>
          <w:rFonts w:hint="eastAsia"/>
          <w:szCs w:val="30"/>
          <w:highlight w:val="none"/>
        </w:rPr>
        <w:t>，</w:t>
      </w:r>
      <w:r>
        <w:rPr>
          <w:highlight w:val="none"/>
        </w:rPr>
        <w:t>创新</w:t>
      </w:r>
      <w:r>
        <w:rPr>
          <w:szCs w:val="30"/>
          <w:highlight w:val="none"/>
        </w:rPr>
        <w:t>联合执法</w:t>
      </w:r>
      <w:r>
        <w:rPr>
          <w:rFonts w:hint="eastAsia"/>
          <w:szCs w:val="30"/>
          <w:highlight w:val="none"/>
        </w:rPr>
        <w:t>、</w:t>
      </w:r>
      <w:r>
        <w:rPr>
          <w:highlight w:val="none"/>
        </w:rPr>
        <w:t>区域执法、交叉执法等机制，</w:t>
      </w:r>
      <w:r>
        <w:rPr>
          <w:szCs w:val="30"/>
          <w:highlight w:val="none"/>
        </w:rPr>
        <w:t>推动落实网格化管理，形成执法合力。运用地面监测、在线监控、对地遥测、溯源排查等科技手段，构建以</w:t>
      </w:r>
      <w:r>
        <w:rPr>
          <w:rFonts w:hint="eastAsia"/>
          <w:szCs w:val="30"/>
          <w:highlight w:val="none"/>
        </w:rPr>
        <w:t>“</w:t>
      </w:r>
      <w:r>
        <w:rPr>
          <w:szCs w:val="30"/>
          <w:highlight w:val="none"/>
        </w:rPr>
        <w:t>互联网+环境监管执法</w:t>
      </w:r>
      <w:r>
        <w:rPr>
          <w:rFonts w:hint="eastAsia"/>
          <w:szCs w:val="30"/>
          <w:highlight w:val="none"/>
        </w:rPr>
        <w:t>”</w:t>
      </w:r>
      <w:r>
        <w:rPr>
          <w:szCs w:val="30"/>
          <w:highlight w:val="none"/>
        </w:rPr>
        <w:t>为主的天空地一体化执法体系，形成完整证据链条，精准执法。</w:t>
      </w:r>
    </w:p>
    <w:p>
      <w:pPr>
        <w:ind w:firstLine="562"/>
        <w:rPr>
          <w:szCs w:val="30"/>
          <w:highlight w:val="none"/>
        </w:rPr>
      </w:pPr>
      <w:r>
        <w:rPr>
          <w:b/>
          <w:bCs/>
          <w:szCs w:val="30"/>
          <w:highlight w:val="none"/>
        </w:rPr>
        <w:t>实施责任追究和损害赔偿制度。</w:t>
      </w:r>
      <w:r>
        <w:rPr>
          <w:szCs w:val="30"/>
          <w:highlight w:val="none"/>
        </w:rPr>
        <w:t>建立生态环境损害赔偿制度，落实损害主体责任。落实党政领导干部生态环境损害赔偿和责任追究联席会议制度，对违背科学发展要求、推动生态文明建设不力、造成生态环境损害的领导干部终身追责。强化督察执法，严打环境违法行为。</w:t>
      </w:r>
    </w:p>
    <w:p>
      <w:pPr>
        <w:pStyle w:val="4"/>
        <w:spacing w:before="156"/>
        <w:rPr>
          <w:highlight w:val="none"/>
        </w:rPr>
      </w:pPr>
      <w:r>
        <w:rPr>
          <w:rFonts w:hint="eastAsia"/>
          <w:highlight w:val="none"/>
        </w:rPr>
        <w:t>完善生态文明制度体系</w:t>
      </w:r>
    </w:p>
    <w:p>
      <w:pPr>
        <w:ind w:firstLine="562"/>
        <w:rPr>
          <w:highlight w:val="none"/>
        </w:rPr>
      </w:pPr>
      <w:r>
        <w:rPr>
          <w:rFonts w:hint="eastAsia"/>
          <w:b/>
          <w:bCs/>
          <w:highlight w:val="none"/>
        </w:rPr>
        <w:t>落实党委政府对生态文明建设重大目标任务部署。</w:t>
      </w:r>
      <w:r>
        <w:rPr>
          <w:rFonts w:hint="eastAsia"/>
          <w:highlight w:val="none"/>
        </w:rPr>
        <w:t>以习近平总书记系列重要讲话、重要指示批示和视察山东重要讲话精神为根本遵循，宣传贯彻并全力推动党的二十大精神、全国生态环境保护大会精神在生态文明建设和生态环保工作中落地落实。深刻把握和运用推进生态文明建设需要处理好的“五个重大关系”，深刻把握以美丽中国建设全面推进人与自然和谐共生的现代化的重大使命任务，深刻把握加强党对生态文明建设全面领导的重要要求。全面落实国家、省、市有关决策部署，用以武装头脑、指导实践、推动工作。</w:t>
      </w:r>
    </w:p>
    <w:p>
      <w:pPr>
        <w:ind w:firstLine="562"/>
        <w:rPr>
          <w:highlight w:val="none"/>
          <w:lang w:val="zh-CN"/>
        </w:rPr>
      </w:pPr>
      <w:r>
        <w:rPr>
          <w:b/>
          <w:bCs/>
          <w:highlight w:val="none"/>
        </w:rPr>
        <w:t>建立生态文明建设激励约束机制</w:t>
      </w:r>
      <w:r>
        <w:rPr>
          <w:rFonts w:hint="eastAsia"/>
          <w:b/>
          <w:bCs/>
          <w:highlight w:val="none"/>
        </w:rPr>
        <w:t>。</w:t>
      </w:r>
      <w:r>
        <w:rPr>
          <w:highlight w:val="none"/>
          <w:lang w:val="zh-CN"/>
        </w:rPr>
        <w:t>加强生态文明建设评价考核制度的权威性和执行力度，将评价考核结果与干部提拔任用、奖励晋级等相结合，增强生态文明建设执行力。一方面对生态文明建设突出地区、单位进行表彰奖励，加大对该地区或单位的生态文明建设资金投入。另一方面对考核不合格的地区或单位，按照《党政领导干部生态环境损害责任追究办法（试行）》的要求，落实领导干部生态文明建设责任，对相关负责人问责、追究责任，使生态文明建设绩效评价考核成为硬约束。</w:t>
      </w:r>
    </w:p>
    <w:p>
      <w:pPr>
        <w:pStyle w:val="3"/>
        <w:rPr>
          <w:b/>
          <w:bCs w:val="0"/>
          <w:highlight w:val="none"/>
        </w:rPr>
      </w:pPr>
      <w:bookmarkStart w:id="153" w:name="_Toc17810"/>
      <w:bookmarkStart w:id="154" w:name="_Toc26632"/>
      <w:bookmarkStart w:id="155" w:name="_Toc20455"/>
      <w:bookmarkStart w:id="156" w:name="_Toc29477"/>
      <w:bookmarkStart w:id="157" w:name="_Toc15526"/>
      <w:bookmarkStart w:id="158" w:name="_Toc9190"/>
      <w:bookmarkStart w:id="159" w:name="_Toc30972"/>
      <w:bookmarkStart w:id="160" w:name="_Toc19866"/>
      <w:bookmarkStart w:id="161" w:name="_Toc16848"/>
      <w:bookmarkStart w:id="162" w:name="_Toc137761529"/>
      <w:r>
        <w:rPr>
          <w:rFonts w:hint="eastAsia"/>
          <w:b/>
          <w:bCs w:val="0"/>
          <w:highlight w:val="none"/>
        </w:rPr>
        <w:t>建立资源高效节约利用制度</w:t>
      </w:r>
      <w:bookmarkEnd w:id="153"/>
      <w:bookmarkEnd w:id="154"/>
      <w:bookmarkEnd w:id="155"/>
      <w:bookmarkEnd w:id="156"/>
      <w:bookmarkEnd w:id="157"/>
      <w:bookmarkEnd w:id="158"/>
      <w:bookmarkEnd w:id="159"/>
      <w:bookmarkEnd w:id="160"/>
      <w:bookmarkEnd w:id="161"/>
      <w:bookmarkEnd w:id="162"/>
    </w:p>
    <w:p>
      <w:pPr>
        <w:pStyle w:val="4"/>
        <w:spacing w:before="156"/>
        <w:rPr>
          <w:highlight w:val="none"/>
        </w:rPr>
      </w:pPr>
      <w:r>
        <w:rPr>
          <w:rFonts w:hint="eastAsia"/>
          <w:highlight w:val="none"/>
        </w:rPr>
        <w:t>建立权责明确的自然资源产权体系</w:t>
      </w:r>
    </w:p>
    <w:p>
      <w:pPr>
        <w:ind w:firstLine="562"/>
        <w:rPr>
          <w:szCs w:val="30"/>
          <w:highlight w:val="none"/>
        </w:rPr>
      </w:pPr>
      <w:r>
        <w:rPr>
          <w:b/>
          <w:bCs/>
          <w:szCs w:val="30"/>
          <w:highlight w:val="none"/>
        </w:rPr>
        <w:t>落实自然资源资产产权制度和用途管制制度。</w:t>
      </w:r>
      <w:r>
        <w:rPr>
          <w:highlight w:val="none"/>
          <w:lang w:val="zh-CN"/>
        </w:rPr>
        <w:t>根据山东省政府办《关于统筹推进自然资源资产产权制度改革的实施意见》（鲁政办发〔2020〕3号），除耕地外继续对泰山区森林、草地、湿地、水等各类自然资源组织实施自然资源基础调查、变更调查、专项调查和分析评价等，建立健全自然资源调查监测评价体系，全面推进自然资源统一确权登记，对水流、森林、湿地、及探明储量的矿产资源等所有权和所有生态空间统一进行确权登记，清晰界定各类自然资源资产的产权主体，逐步建立归属清晰、权责明确、保护严格、流转顺畅、监管有效的具有泰山区特色的自然资源资产产权制度。</w:t>
      </w:r>
    </w:p>
    <w:p>
      <w:pPr>
        <w:ind w:firstLine="562"/>
        <w:rPr>
          <w:highlight w:val="none"/>
          <w:lang w:val="zh-CN"/>
        </w:rPr>
      </w:pPr>
      <w:r>
        <w:rPr>
          <w:b/>
          <w:bCs/>
          <w:highlight w:val="none"/>
        </w:rPr>
        <w:t>加快编制自然资源资产负债表。</w:t>
      </w:r>
      <w:r>
        <w:rPr>
          <w:highlight w:val="none"/>
          <w:lang w:val="zh-CN"/>
        </w:rPr>
        <w:t>根据山东省政府办《关于开展编制自然资源资产负债表试点工作的通知》等相关要求，探索编制自然资源资产负债表，为领导干部离任审计提供依据。泰山区自然资源和规划局牵头开展自然资源资产负债表编制相关工作，确定以土地资源、林木资源、水资源和矿产资源为主的核算内容，制定工作方案和编制制度，理清编制自然资源资产负债表所需的基础资料状况，协调水利、农业、林业等部门收集相关基础资料，建立自然资源存量及变化统计台账，从实物量方面进行统计编制自然资源资产负债表。明确分类标准和统计规范，定期评估自然资源资产变化情况并公布核算结果。</w:t>
      </w:r>
    </w:p>
    <w:p>
      <w:pPr>
        <w:pStyle w:val="4"/>
        <w:spacing w:before="156"/>
        <w:rPr>
          <w:highlight w:val="none"/>
        </w:rPr>
      </w:pPr>
      <w:r>
        <w:rPr>
          <w:highlight w:val="none"/>
        </w:rPr>
        <w:t>实行</w:t>
      </w:r>
      <w:bookmarkStart w:id="163" w:name="_Toc10740"/>
      <w:bookmarkStart w:id="164" w:name="_Toc1430"/>
      <w:r>
        <w:rPr>
          <w:rFonts w:hint="eastAsia"/>
          <w:highlight w:val="none"/>
        </w:rPr>
        <w:t>资源总量管理和全面节约制度</w:t>
      </w:r>
      <w:bookmarkEnd w:id="163"/>
      <w:bookmarkEnd w:id="164"/>
    </w:p>
    <w:p>
      <w:pPr>
        <w:ind w:firstLine="562"/>
        <w:rPr>
          <w:highlight w:val="none"/>
        </w:rPr>
      </w:pPr>
      <w:r>
        <w:rPr>
          <w:rFonts w:hint="eastAsia"/>
          <w:b/>
          <w:bCs/>
          <w:highlight w:val="none"/>
        </w:rPr>
        <w:t>建立能源消费总量管理和节约制度</w:t>
      </w:r>
      <w:r>
        <w:rPr>
          <w:rFonts w:hint="eastAsia"/>
          <w:highlight w:val="none"/>
        </w:rPr>
        <w:t>。健全节能、削煤目标责任制和奖惩制，强化能耗强度控制。完善能源、煤炭消费统计制度。健全重点用能单位节能管理、节能监察制度，实行能源消费、煤炭消费总量目标管理。建立统一、规范的节能评估审查制度，强化能评约束作用，制（修）订高耗能行业严于国家标准的能耗限额标准。逐步建立全区碳排放总量控制制度和分解落实机制。建立重点单位温室气体排放报告制度。结合重点用能、用煤单位的节能管理和新上项目的能评、煤炭消费减量替代工作，开展项目节能量、煤炭消费量等能源消费权交易。</w:t>
      </w:r>
    </w:p>
    <w:p>
      <w:pPr>
        <w:ind w:firstLine="562"/>
        <w:rPr>
          <w:highlight w:val="none"/>
        </w:rPr>
      </w:pPr>
      <w:r>
        <w:rPr>
          <w:b/>
          <w:bCs/>
          <w:highlight w:val="none"/>
        </w:rPr>
        <w:t>完善资源</w:t>
      </w:r>
      <w:r>
        <w:rPr>
          <w:rFonts w:hint="eastAsia"/>
          <w:b/>
          <w:bCs/>
          <w:highlight w:val="none"/>
        </w:rPr>
        <w:t>减量</w:t>
      </w:r>
      <w:r>
        <w:rPr>
          <w:b/>
          <w:bCs/>
          <w:highlight w:val="none"/>
        </w:rPr>
        <w:t>循环利用制度</w:t>
      </w:r>
      <w:r>
        <w:rPr>
          <w:rFonts w:hint="eastAsia"/>
          <w:b/>
          <w:bCs/>
          <w:highlight w:val="none"/>
        </w:rPr>
        <w:t>。</w:t>
      </w:r>
      <w:r>
        <w:rPr>
          <w:rFonts w:hint="eastAsia"/>
          <w:highlight w:val="none"/>
        </w:rPr>
        <w:t>落实资源再生产品和原料推广使用制度，相关原材料消耗企业要使用一定比例的资源再生产品。</w:t>
      </w:r>
      <w:r>
        <w:rPr>
          <w:highlight w:val="none"/>
        </w:rPr>
        <w:t>实行生产者责任延伸制度，推动生产者落实废弃产品回收处理等责任。</w:t>
      </w:r>
      <w:r>
        <w:rPr>
          <w:rFonts w:hint="eastAsia"/>
          <w:highlight w:val="none"/>
        </w:rPr>
        <w:t>落实限制一次性用品使用制度。</w:t>
      </w:r>
      <w:r>
        <w:rPr>
          <w:highlight w:val="none"/>
        </w:rPr>
        <w:t>完善再生资源回收体系，</w:t>
      </w:r>
      <w:r>
        <w:rPr>
          <w:rFonts w:hint="eastAsia"/>
          <w:highlight w:val="none"/>
        </w:rPr>
        <w:t>在岱庙、财源、泰前、上高、徐家楼</w:t>
      </w:r>
      <w:r>
        <w:rPr>
          <w:highlight w:val="none"/>
        </w:rPr>
        <w:t>街道开展生活垃圾分类试点工作的基础上，加快建立有利于垃圾分类和减量化、资源化、无害化处理的激励约束机制。推进产业循环式组合，促进生产和生活系统的循环链接，构建覆盖全社会的资源循环利用体系。</w:t>
      </w:r>
    </w:p>
    <w:p>
      <w:pPr>
        <w:ind w:firstLine="562"/>
        <w:rPr>
          <w:highlight w:val="none"/>
        </w:rPr>
      </w:pPr>
      <w:r>
        <w:rPr>
          <w:b/>
          <w:bCs/>
          <w:highlight w:val="none"/>
        </w:rPr>
        <w:t>建立资源环境承载能力监测预警长效机制</w:t>
      </w:r>
      <w:r>
        <w:rPr>
          <w:rFonts w:hint="eastAsia"/>
          <w:b/>
          <w:bCs/>
          <w:highlight w:val="none"/>
        </w:rPr>
        <w:t>。</w:t>
      </w:r>
      <w:r>
        <w:rPr>
          <w:highlight w:val="none"/>
        </w:rPr>
        <w:t>结合国土空间总体规划，测算确定</w:t>
      </w:r>
      <w:r>
        <w:rPr>
          <w:rFonts w:hint="eastAsia"/>
          <w:highlight w:val="none"/>
        </w:rPr>
        <w:t>泰山区</w:t>
      </w:r>
      <w:r>
        <w:rPr>
          <w:highlight w:val="none"/>
        </w:rPr>
        <w:t>合理的人口规模、产业规模、建设用地供应量、能源消费总量，污染物排放总量等，设置预警控制线和响应线。定期开展资源环境承载能力评估，对土地资源、水资源、水环境、大气环境和土壤环境超载区域实行预警提醒和限制性措施。研究建立对超载地区的预警提醒、监督考核和责任追究等长效机制，推进监测预警的信息化、规范化、制度化。</w:t>
      </w:r>
    </w:p>
    <w:p>
      <w:pPr>
        <w:pStyle w:val="4"/>
        <w:spacing w:before="156"/>
        <w:rPr>
          <w:highlight w:val="none"/>
        </w:rPr>
      </w:pPr>
      <w:commentRangeStart w:id="1"/>
      <w:bookmarkStart w:id="165" w:name="_Toc18078"/>
      <w:bookmarkStart w:id="166" w:name="_Toc23595"/>
      <w:r>
        <w:rPr>
          <w:rFonts w:hint="eastAsia"/>
          <w:highlight w:val="none"/>
        </w:rPr>
        <w:t>贯彻资源有偿使用和高效利用制度</w:t>
      </w:r>
      <w:commentRangeEnd w:id="1"/>
      <w:r>
        <w:rPr>
          <w:rStyle w:val="37"/>
          <w:rFonts w:ascii="Calibri" w:hAnsi="Calibri" w:cs="宋体"/>
          <w:b w:val="0"/>
          <w:bCs w:val="0"/>
          <w:highlight w:val="none"/>
        </w:rPr>
        <w:commentReference w:id="1"/>
      </w:r>
      <w:bookmarkEnd w:id="165"/>
      <w:bookmarkEnd w:id="166"/>
    </w:p>
    <w:p>
      <w:pPr>
        <w:ind w:firstLine="562"/>
        <w:rPr>
          <w:highlight w:val="none"/>
          <w:lang w:val="zh-CN"/>
        </w:rPr>
      </w:pPr>
      <w:r>
        <w:rPr>
          <w:rFonts w:hint="eastAsia"/>
          <w:b/>
          <w:bCs/>
          <w:highlight w:val="none"/>
        </w:rPr>
        <w:t>完善重点领域有偿使用制度</w:t>
      </w:r>
      <w:r>
        <w:rPr>
          <w:b/>
          <w:bCs/>
          <w:highlight w:val="none"/>
        </w:rPr>
        <w:t>。</w:t>
      </w:r>
      <w:r>
        <w:rPr>
          <w:highlight w:val="none"/>
          <w:lang w:val="zh-CN"/>
        </w:rPr>
        <w:t>按照《国务院关于全民所有自然资源资产有偿使用制度改革的指导意见（国发〔2016〕82号）》相关意见，针对泰山区土地、水、矿产、森林等国有自然资源不同特点和情况，</w:t>
      </w:r>
      <w:r>
        <w:rPr>
          <w:highlight w:val="none"/>
        </w:rPr>
        <w:t>进一步加强管理，</w:t>
      </w:r>
      <w:r>
        <w:rPr>
          <w:highlight w:val="none"/>
          <w:lang w:val="zh-CN"/>
        </w:rPr>
        <w:t>深入推进各类资源全面所有</w:t>
      </w:r>
      <w:r>
        <w:rPr>
          <w:highlight w:val="none"/>
        </w:rPr>
        <w:t>自然资源</w:t>
      </w:r>
      <w:r>
        <w:rPr>
          <w:highlight w:val="none"/>
          <w:lang w:val="zh-CN"/>
        </w:rPr>
        <w:t>有偿使用制度。</w:t>
      </w:r>
      <w:r>
        <w:rPr>
          <w:highlight w:val="none"/>
        </w:rPr>
        <w:t>建立产权明晰、权能丰富、监管有效、权益落实的全民所有自然资源资产有偿使用制度。健全完善</w:t>
      </w:r>
      <w:r>
        <w:rPr>
          <w:rFonts w:hint="eastAsia"/>
          <w:highlight w:val="none"/>
        </w:rPr>
        <w:t>“</w:t>
      </w:r>
      <w:r>
        <w:rPr>
          <w:highlight w:val="none"/>
        </w:rPr>
        <w:t>河湖长制</w:t>
      </w:r>
      <w:r>
        <w:rPr>
          <w:rFonts w:hint="eastAsia"/>
          <w:highlight w:val="none"/>
        </w:rPr>
        <w:t>”“</w:t>
      </w:r>
      <w:r>
        <w:rPr>
          <w:highlight w:val="none"/>
        </w:rPr>
        <w:t>林草长制</w:t>
      </w:r>
      <w:r>
        <w:rPr>
          <w:rFonts w:hint="eastAsia"/>
          <w:highlight w:val="none"/>
        </w:rPr>
        <w:t>”“</w:t>
      </w:r>
      <w:r>
        <w:rPr>
          <w:highlight w:val="none"/>
        </w:rPr>
        <w:t>田长制</w:t>
      </w:r>
      <w:r>
        <w:rPr>
          <w:rFonts w:hint="eastAsia"/>
          <w:highlight w:val="none"/>
        </w:rPr>
        <w:t>”</w:t>
      </w:r>
      <w:r>
        <w:rPr>
          <w:highlight w:val="none"/>
        </w:rPr>
        <w:t>。</w:t>
      </w:r>
      <w:r>
        <w:rPr>
          <w:b/>
          <w:bCs/>
          <w:highlight w:val="none"/>
          <w:lang w:val="zh-CN"/>
        </w:rPr>
        <w:t>完善国有土地有偿使用制度</w:t>
      </w:r>
      <w:r>
        <w:rPr>
          <w:highlight w:val="none"/>
          <w:lang w:val="zh-CN"/>
        </w:rPr>
        <w:t>，全面落实规划土地功能分区和保护利用的要求，优化土地利用布局，规范经营性土地有偿使用，探索建立国有农用地有偿使用制度。</w:t>
      </w:r>
      <w:r>
        <w:rPr>
          <w:b/>
          <w:bCs/>
          <w:highlight w:val="none"/>
          <w:lang w:val="zh-CN"/>
        </w:rPr>
        <w:t>完善水资源有偿使用制度</w:t>
      </w:r>
      <w:r>
        <w:rPr>
          <w:highlight w:val="none"/>
          <w:lang w:val="zh-CN"/>
        </w:rPr>
        <w:t>，落实最严格的水资源管理制度，严守水资源三条红线，强化水资源节约利用与保护。全面实施水资源消耗总量和强度双控行动，健全水资源费征收制度，探索建立水权交易管理制度。</w:t>
      </w:r>
      <w:r>
        <w:rPr>
          <w:b/>
          <w:bCs/>
          <w:highlight w:val="none"/>
          <w:lang w:val="zh-CN"/>
        </w:rPr>
        <w:t>完善矿产资源有偿使用制度</w:t>
      </w:r>
      <w:r>
        <w:rPr>
          <w:highlight w:val="none"/>
          <w:lang w:val="zh-CN"/>
        </w:rPr>
        <w:t>，建立符合市场经济要求和矿业规律的探矿权采矿权出让方式，原则上实行市场化出让，贯彻落实矿产资源国家权益金制度。</w:t>
      </w:r>
      <w:r>
        <w:rPr>
          <w:b/>
          <w:bCs/>
          <w:highlight w:val="none"/>
          <w:lang w:val="zh-CN"/>
        </w:rPr>
        <w:t>研究建立森林资源有偿使用清单制度</w:t>
      </w:r>
      <w:r>
        <w:rPr>
          <w:highlight w:val="none"/>
          <w:lang w:val="zh-CN"/>
        </w:rPr>
        <w:t>，对森林资源资产需经营利用的，确定有偿使用的范围、期限、条件、程序和方式，推进林地、草地使用权确权登记工作，健全森林资源资产评估制度，依法依规严格保护林草生态。</w:t>
      </w:r>
    </w:p>
    <w:p>
      <w:pPr>
        <w:ind w:firstLine="562"/>
        <w:rPr>
          <w:highlight w:val="none"/>
        </w:rPr>
      </w:pPr>
      <w:r>
        <w:rPr>
          <w:b/>
          <w:bCs/>
          <w:highlight w:val="none"/>
        </w:rPr>
        <w:t>全面建立资源高效利用制度</w:t>
      </w:r>
      <w:r>
        <w:rPr>
          <w:rFonts w:hint="eastAsia"/>
          <w:b/>
          <w:bCs/>
          <w:highlight w:val="none"/>
        </w:rPr>
        <w:t>。</w:t>
      </w:r>
      <w:r>
        <w:rPr>
          <w:highlight w:val="none"/>
        </w:rPr>
        <w:t>根据山东省人民政府印发的《建立促进资源节约和循环利用制度体系工作方案》的工作要求，在自然资源确权登记与落实资源有偿使用的基础上，实行资源总量管理和全面节约制度，健全资源节约集约循环利用政策体系，普遍实行垃圾分类和资源化利用制度。推行能源改革，构建清洁低碳、安全高效的能源体系。结合泰山区实际，逐步完善资源节约和循环利用运行机制和体系框架，加快完善和创新制度，逐步加大资源节约和循环利用制度体系建设力度，推动形成人与自然和谐发展的现代化建设新格局。</w:t>
      </w:r>
    </w:p>
    <w:p>
      <w:pPr>
        <w:pStyle w:val="3"/>
        <w:rPr>
          <w:b/>
          <w:bCs w:val="0"/>
          <w:highlight w:val="none"/>
        </w:rPr>
      </w:pPr>
      <w:bookmarkStart w:id="167" w:name="_Toc4789"/>
      <w:bookmarkStart w:id="168" w:name="_Toc25966"/>
      <w:bookmarkStart w:id="169" w:name="_Toc20978"/>
      <w:r>
        <w:rPr>
          <w:rFonts w:hint="eastAsia"/>
          <w:b/>
          <w:bCs w:val="0"/>
          <w:highlight w:val="none"/>
        </w:rPr>
        <w:t>完善生态环境保护修复制度</w:t>
      </w:r>
      <w:bookmarkEnd w:id="150"/>
      <w:bookmarkEnd w:id="151"/>
      <w:bookmarkEnd w:id="167"/>
      <w:bookmarkEnd w:id="168"/>
      <w:bookmarkEnd w:id="169"/>
    </w:p>
    <w:p>
      <w:pPr>
        <w:pStyle w:val="4"/>
        <w:spacing w:before="156"/>
        <w:rPr>
          <w:highlight w:val="none"/>
        </w:rPr>
      </w:pPr>
      <w:r>
        <w:rPr>
          <w:rFonts w:hint="eastAsia"/>
          <w:highlight w:val="none"/>
        </w:rPr>
        <w:t>严格“三线一单”分区管控宏观指导</w:t>
      </w:r>
    </w:p>
    <w:p>
      <w:pPr>
        <w:ind w:firstLine="560"/>
        <w:rPr>
          <w:highlight w:val="none"/>
        </w:rPr>
      </w:pPr>
      <w:r>
        <w:rPr>
          <w:highlight w:val="none"/>
        </w:rPr>
        <w:t>立足</w:t>
      </w:r>
      <w:r>
        <w:rPr>
          <w:rFonts w:hint="eastAsia"/>
          <w:highlight w:val="none"/>
        </w:rPr>
        <w:t>泰山</w:t>
      </w:r>
      <w:r>
        <w:rPr>
          <w:highlight w:val="none"/>
        </w:rPr>
        <w:t>区区域特</w:t>
      </w:r>
      <w:r>
        <w:rPr>
          <w:rFonts w:hint="eastAsia"/>
          <w:highlight w:val="none"/>
        </w:rPr>
        <w:t>征</w:t>
      </w:r>
      <w:r>
        <w:rPr>
          <w:highlight w:val="none"/>
        </w:rPr>
        <w:t>、发展定位以及地区突出生态环境问题，厘清</w:t>
      </w:r>
      <w:r>
        <w:rPr>
          <w:rFonts w:hint="eastAsia"/>
          <w:highlight w:val="none"/>
        </w:rPr>
        <w:t>泰山</w:t>
      </w:r>
      <w:r>
        <w:rPr>
          <w:highlight w:val="none"/>
        </w:rPr>
        <w:t>区生态保护现状和形势，</w:t>
      </w:r>
      <w:r>
        <w:rPr>
          <w:rFonts w:hint="eastAsia"/>
          <w:highlight w:val="none"/>
        </w:rPr>
        <w:t>强化“三线一单”宏观指导作用，坚守底线，严格管理，</w:t>
      </w:r>
      <w:r>
        <w:rPr>
          <w:highlight w:val="none"/>
        </w:rPr>
        <w:t>加大宣传、加强审查、强化应用。</w:t>
      </w:r>
      <w:r>
        <w:rPr>
          <w:rFonts w:hint="eastAsia"/>
          <w:highlight w:val="none"/>
        </w:rPr>
        <w:t>以生态功能不降低、环境质量不下降、资源环境承载能力不突破为底线，坚决制止违反生态环境准入清单规定进行生产建设活动的行为，不断强化生态环境源头防控。</w:t>
      </w:r>
      <w:r>
        <w:rPr>
          <w:highlight w:val="none"/>
        </w:rPr>
        <w:t>实现发展空间布局、资源开发利用和生态环境保护的协调统一。按照划分后的优先保护单元、重点管控单元两类八个单元，落实</w:t>
      </w:r>
      <w:r>
        <w:rPr>
          <w:rFonts w:hint="eastAsia"/>
          <w:highlight w:val="none"/>
        </w:rPr>
        <w:t>“</w:t>
      </w:r>
      <w:r>
        <w:rPr>
          <w:highlight w:val="none"/>
        </w:rPr>
        <w:t>三线一单</w:t>
      </w:r>
      <w:r>
        <w:rPr>
          <w:rFonts w:hint="eastAsia"/>
          <w:highlight w:val="none"/>
        </w:rPr>
        <w:t>”</w:t>
      </w:r>
      <w:r>
        <w:rPr>
          <w:highlight w:val="none"/>
        </w:rPr>
        <w:t>为核心的生态环境分区管控体系并监督实施。</w:t>
      </w:r>
    </w:p>
    <w:p>
      <w:pPr>
        <w:pStyle w:val="4"/>
        <w:spacing w:before="156"/>
        <w:rPr>
          <w:highlight w:val="none"/>
        </w:rPr>
      </w:pPr>
      <w:r>
        <w:rPr>
          <w:highlight w:val="none"/>
        </w:rPr>
        <w:t>统筹山水林田湖草系统修复管理制度</w:t>
      </w:r>
    </w:p>
    <w:p>
      <w:pPr>
        <w:ind w:firstLine="560"/>
        <w:rPr>
          <w:highlight w:val="none"/>
        </w:rPr>
      </w:pPr>
      <w:r>
        <w:rPr>
          <w:highlight w:val="none"/>
        </w:rPr>
        <w:t>牢固树立</w:t>
      </w:r>
      <w:r>
        <w:rPr>
          <w:rFonts w:hint="eastAsia"/>
          <w:highlight w:val="none"/>
        </w:rPr>
        <w:t>“</w:t>
      </w:r>
      <w:r>
        <w:rPr>
          <w:highlight w:val="none"/>
        </w:rPr>
        <w:t>山水林田湖草是一个生命共同体</w:t>
      </w:r>
      <w:r>
        <w:rPr>
          <w:rFonts w:hint="eastAsia"/>
          <w:highlight w:val="none"/>
        </w:rPr>
        <w:t>”</w:t>
      </w:r>
      <w:r>
        <w:rPr>
          <w:highlight w:val="none"/>
        </w:rPr>
        <w:t>理念，破解生态系统管理的</w:t>
      </w:r>
      <w:r>
        <w:rPr>
          <w:rFonts w:hint="eastAsia"/>
          <w:highlight w:val="none"/>
        </w:rPr>
        <w:t>“</w:t>
      </w:r>
      <w:r>
        <w:rPr>
          <w:highlight w:val="none"/>
        </w:rPr>
        <w:t>破碎化</w:t>
      </w:r>
      <w:r>
        <w:rPr>
          <w:rFonts w:hint="eastAsia"/>
          <w:highlight w:val="none"/>
        </w:rPr>
        <w:t>”</w:t>
      </w:r>
      <w:r>
        <w:rPr>
          <w:highlight w:val="none"/>
        </w:rPr>
        <w:t>，坚持山水林田湖草整体保护、系统修复、区域统筹、综合治理，全方位、全地域、全过程开展生态保护修复，提高生态系统管理成效。统筹考虑自然资源开发涉及的各环节，培育生命周期管理意识，形成链条式一体化管控机制。整合源头防控、过程控制、损害赔偿、责任追究等机制，整体管控自然资源开发及其产生的环境效应，形成完善的自然资源开发生命周期一体化管控体系。</w:t>
      </w:r>
    </w:p>
    <w:p>
      <w:pPr>
        <w:pStyle w:val="4"/>
        <w:spacing w:before="156"/>
        <w:rPr>
          <w:highlight w:val="none"/>
        </w:rPr>
      </w:pPr>
      <w:r>
        <w:rPr>
          <w:rFonts w:hint="eastAsia"/>
          <w:highlight w:val="none"/>
        </w:rPr>
        <w:t>完善生态补偿生态产品价值实现机制</w:t>
      </w:r>
    </w:p>
    <w:p>
      <w:pPr>
        <w:ind w:firstLine="562"/>
        <w:rPr>
          <w:highlight w:val="none"/>
        </w:rPr>
      </w:pPr>
      <w:r>
        <w:rPr>
          <w:b/>
          <w:bCs/>
          <w:szCs w:val="30"/>
          <w:highlight w:val="none"/>
        </w:rPr>
        <w:t>完善</w:t>
      </w:r>
      <w:r>
        <w:rPr>
          <w:rFonts w:hint="eastAsia"/>
          <w:b/>
          <w:bCs/>
          <w:highlight w:val="none"/>
        </w:rPr>
        <w:t>重点领域</w:t>
      </w:r>
      <w:r>
        <w:rPr>
          <w:b/>
          <w:bCs/>
          <w:szCs w:val="30"/>
          <w:highlight w:val="none"/>
        </w:rPr>
        <w:t>生态保护补偿制度。</w:t>
      </w:r>
      <w:r>
        <w:rPr>
          <w:szCs w:val="30"/>
          <w:highlight w:val="none"/>
        </w:rPr>
        <w:t>建立健全生态保护红线区域生态补偿制度，对承担基本农田、生态公益林、重要湿地、饮用水水源保护区等保护责任的主体实施生态补偿，</w:t>
      </w:r>
      <w:r>
        <w:rPr>
          <w:rFonts w:hint="eastAsia"/>
          <w:highlight w:val="none"/>
        </w:rPr>
        <w:t>推动森林、河湖、耕地、湿地等自然保护地重点领域生态补偿机制。</w:t>
      </w:r>
      <w:r>
        <w:rPr>
          <w:rFonts w:hint="eastAsia"/>
          <w:b/>
          <w:bCs/>
          <w:highlight w:val="none"/>
        </w:rPr>
        <w:t>完善多元化生态补偿机制。</w:t>
      </w:r>
      <w:r>
        <w:rPr>
          <w:highlight w:val="none"/>
          <w:lang w:val="zh-CN"/>
        </w:rPr>
        <w:t>建立政府主导、企业和社会参与、市场化运作、可持续的生态保护补偿</w:t>
      </w:r>
      <w:r>
        <w:rPr>
          <w:highlight w:val="none"/>
        </w:rPr>
        <w:t>机制。健全资源开发补偿、污染物减排补偿、水资源节约补偿、碳排放权抵消补偿制度，合理界定和配置生态环境</w:t>
      </w:r>
      <w:r>
        <w:rPr>
          <w:rFonts w:hint="eastAsia"/>
          <w:highlight w:val="none"/>
        </w:rPr>
        <w:t>权益</w:t>
      </w:r>
      <w:r>
        <w:rPr>
          <w:highlight w:val="none"/>
        </w:rPr>
        <w:t>，健全交易平台，引导生态受益者对生态保护者的补偿。</w:t>
      </w:r>
      <w:r>
        <w:rPr>
          <w:b/>
          <w:bCs/>
          <w:highlight w:val="none"/>
        </w:rPr>
        <w:t>建立市场化生态补偿机制。</w:t>
      </w:r>
      <w:r>
        <w:rPr>
          <w:highlight w:val="none"/>
        </w:rPr>
        <w:t>培育资源市场，开放生产要素市场，使资源资本化、生态资本化，积极开展碳排放交易、水权交易、排污权交易试点，探索资源使（取）用权、排污权交易等市场化补偿模式。健全绿色标识、绿色采购、绿色金融、绿色利益分享机制，引导社会投资者加大对生态保护者的补偿。</w:t>
      </w:r>
    </w:p>
    <w:p>
      <w:pPr>
        <w:ind w:firstLine="562"/>
        <w:rPr>
          <w:highlight w:val="none"/>
        </w:rPr>
      </w:pPr>
      <w:r>
        <w:rPr>
          <w:b/>
          <w:bCs/>
          <w:highlight w:val="none"/>
        </w:rPr>
        <w:t>建立多来源生态补偿专项资金筹集机制。</w:t>
      </w:r>
      <w:r>
        <w:rPr>
          <w:rFonts w:hint="eastAsia"/>
          <w:highlight w:val="none"/>
        </w:rPr>
        <w:t>结合</w:t>
      </w:r>
      <w:r>
        <w:rPr>
          <w:highlight w:val="none"/>
        </w:rPr>
        <w:t>《泰安市人民政府办公室关于印发建立健全生态文明建设财政奖补机制实施方案的通知》</w:t>
      </w:r>
      <w:r>
        <w:rPr>
          <w:rFonts w:hint="eastAsia"/>
          <w:highlight w:val="none"/>
        </w:rPr>
        <w:t>，探索</w:t>
      </w:r>
      <w:r>
        <w:rPr>
          <w:highlight w:val="none"/>
        </w:rPr>
        <w:t>设立主要污染物排放调节资金，建立节能减排奖惩机制，实施空气质量、地表水环境、重点生态功能区、自然保护区等生态补偿，</w:t>
      </w:r>
      <w:r>
        <w:rPr>
          <w:rFonts w:hint="eastAsia"/>
          <w:highlight w:val="none"/>
        </w:rPr>
        <w:t>并</w:t>
      </w:r>
      <w:r>
        <w:rPr>
          <w:highlight w:val="none"/>
        </w:rPr>
        <w:t>做到专款专用。量化各项生态补偿专项基金使用的绩效考核目标，纳入绩效考核体系，并建立相应的奖惩机制。</w:t>
      </w:r>
    </w:p>
    <w:p>
      <w:pPr>
        <w:ind w:firstLine="562"/>
        <w:rPr>
          <w:highlight w:val="none"/>
        </w:rPr>
      </w:pPr>
      <w:r>
        <w:rPr>
          <w:b/>
          <w:bCs/>
          <w:highlight w:val="none"/>
        </w:rPr>
        <w:t>建立健全生态产品价值实现机制</w:t>
      </w:r>
      <w:r>
        <w:rPr>
          <w:highlight w:val="none"/>
        </w:rPr>
        <w:t>。开展生态产品价值核算，摸清家底。充分依托绿色金融机制推动自然资本转化为金融资本</w:t>
      </w:r>
      <w:r>
        <w:rPr>
          <w:rFonts w:hint="eastAsia"/>
          <w:highlight w:val="none"/>
        </w:rPr>
        <w:t>。</w:t>
      </w:r>
      <w:r>
        <w:rPr>
          <w:highlight w:val="none"/>
        </w:rPr>
        <w:t>依托丰富的农业资源、文旅资源，推进生态产业开发和产业生态化发展，探索开展</w:t>
      </w:r>
      <w:r>
        <w:rPr>
          <w:rFonts w:hint="eastAsia"/>
          <w:highlight w:val="none"/>
        </w:rPr>
        <w:t>林地、湿地等</w:t>
      </w:r>
      <w:r>
        <w:rPr>
          <w:highlight w:val="none"/>
        </w:rPr>
        <w:t>碳汇交易，推动生态优势向经济优势转化。</w:t>
      </w:r>
      <w:r>
        <w:rPr>
          <w:rFonts w:hint="eastAsia"/>
          <w:highlight w:val="none"/>
        </w:rPr>
        <w:t>加大绿色金融支持，鼓励各类金融机构根据生态产品开发项目的发展需求和风险等级创新金融产品。</w:t>
      </w:r>
      <w:r>
        <w:rPr>
          <w:b/>
          <w:bCs/>
          <w:highlight w:val="none"/>
        </w:rPr>
        <w:t>构建市场化多元生态环保投融资体系</w:t>
      </w:r>
      <w:r>
        <w:rPr>
          <w:rFonts w:hint="eastAsia"/>
          <w:highlight w:val="none"/>
        </w:rPr>
        <w:t>。通过鼓励</w:t>
      </w:r>
      <w:r>
        <w:rPr>
          <w:highlight w:val="none"/>
        </w:rPr>
        <w:t>BOT、TOT、PPP</w:t>
      </w:r>
      <w:r>
        <w:rPr>
          <w:rFonts w:hint="eastAsia"/>
          <w:highlight w:val="none"/>
        </w:rPr>
        <w:t>模式</w:t>
      </w:r>
      <w:r>
        <w:rPr>
          <w:highlight w:val="none"/>
        </w:rPr>
        <w:t>、</w:t>
      </w:r>
      <w:r>
        <w:rPr>
          <w:rFonts w:hint="eastAsia"/>
          <w:highlight w:val="none"/>
        </w:rPr>
        <w:t>汇聚优质</w:t>
      </w:r>
      <w:r>
        <w:rPr>
          <w:highlight w:val="none"/>
        </w:rPr>
        <w:t>EOD</w:t>
      </w:r>
      <w:r>
        <w:rPr>
          <w:rFonts w:hint="eastAsia"/>
          <w:highlight w:val="none"/>
        </w:rPr>
        <w:t>项目</w:t>
      </w:r>
      <w:r>
        <w:rPr>
          <w:highlight w:val="none"/>
        </w:rPr>
        <w:t>等方式</w:t>
      </w:r>
      <w:r>
        <w:rPr>
          <w:rFonts w:hint="eastAsia"/>
          <w:highlight w:val="none"/>
        </w:rPr>
        <w:t>，</w:t>
      </w:r>
      <w:r>
        <w:rPr>
          <w:highlight w:val="none"/>
        </w:rPr>
        <w:t>拓展</w:t>
      </w:r>
      <w:r>
        <w:rPr>
          <w:rFonts w:hint="eastAsia"/>
          <w:highlight w:val="none"/>
        </w:rPr>
        <w:t>生态环境治理</w:t>
      </w:r>
      <w:r>
        <w:rPr>
          <w:highlight w:val="none"/>
        </w:rPr>
        <w:t>投融资渠道，吸引各类资本参与环境治理、生态保护公共产品和服务的投资、建设和运营，推进污水、垃圾、危废处置、生态修复等的市场化运作。加强金融机构与生态环境部门的交流合作，构建政府调控、市场主导、各方参与的绿色金融信息共享平台。</w:t>
      </w:r>
    </w:p>
    <w:p>
      <w:pPr>
        <w:pStyle w:val="3"/>
        <w:rPr>
          <w:b/>
          <w:bCs w:val="0"/>
          <w:highlight w:val="none"/>
        </w:rPr>
      </w:pPr>
      <w:bookmarkStart w:id="170" w:name="_Toc13832"/>
      <w:bookmarkStart w:id="171" w:name="_Toc11948"/>
      <w:bookmarkStart w:id="172" w:name="_Toc15282"/>
      <w:bookmarkStart w:id="173" w:name="_Toc143041431"/>
      <w:bookmarkStart w:id="174" w:name="_Toc25996"/>
      <w:r>
        <w:rPr>
          <w:rFonts w:hint="eastAsia"/>
          <w:b/>
          <w:bCs w:val="0"/>
          <w:highlight w:val="none"/>
        </w:rPr>
        <w:t>严明生态环境保护责任制度</w:t>
      </w:r>
      <w:bookmarkEnd w:id="170"/>
      <w:bookmarkEnd w:id="171"/>
      <w:bookmarkEnd w:id="172"/>
    </w:p>
    <w:p>
      <w:pPr>
        <w:pStyle w:val="4"/>
        <w:spacing w:before="156"/>
        <w:rPr>
          <w:highlight w:val="none"/>
        </w:rPr>
      </w:pPr>
      <w:r>
        <w:rPr>
          <w:rFonts w:hint="eastAsia"/>
          <w:highlight w:val="none"/>
        </w:rPr>
        <w:t>完善生态文明建设目标评价考核体系</w:t>
      </w:r>
    </w:p>
    <w:p>
      <w:pPr>
        <w:ind w:firstLine="560"/>
        <w:rPr>
          <w:highlight w:val="none"/>
        </w:rPr>
      </w:pPr>
      <w:r>
        <w:rPr>
          <w:rFonts w:hint="eastAsia"/>
          <w:highlight w:val="none"/>
        </w:rPr>
        <w:t>落实生态文明建设目标评价考核党政同责，党委和政府领导班子成员履行生态文明建设一岗双责。坚持定量与定性相结合，以定量考核为主开展评价考核工作。</w:t>
      </w:r>
      <w:r>
        <w:rPr>
          <w:szCs w:val="30"/>
          <w:highlight w:val="none"/>
        </w:rPr>
        <w:t>参考</w:t>
      </w:r>
      <w:r>
        <w:rPr>
          <w:rFonts w:hint="eastAsia"/>
          <w:szCs w:val="30"/>
          <w:highlight w:val="none"/>
        </w:rPr>
        <w:t>《山东省生态文明建设目标评价考核办法》</w:t>
      </w:r>
      <w:r>
        <w:rPr>
          <w:szCs w:val="30"/>
          <w:highlight w:val="none"/>
        </w:rPr>
        <w:t>，</w:t>
      </w:r>
      <w:r>
        <w:rPr>
          <w:rFonts w:hint="eastAsia"/>
          <w:szCs w:val="30"/>
          <w:highlight w:val="none"/>
        </w:rPr>
        <w:t>探索</w:t>
      </w:r>
      <w:r>
        <w:rPr>
          <w:szCs w:val="30"/>
          <w:highlight w:val="none"/>
        </w:rPr>
        <w:t>出台《</w:t>
      </w:r>
      <w:r>
        <w:rPr>
          <w:rFonts w:hint="eastAsia"/>
          <w:szCs w:val="30"/>
          <w:highlight w:val="none"/>
        </w:rPr>
        <w:t>泰山区</w:t>
      </w:r>
      <w:r>
        <w:rPr>
          <w:szCs w:val="30"/>
          <w:highlight w:val="none"/>
        </w:rPr>
        <w:t>生态文明建设实绩考核办法及评分细则》，在现有党政领导干部考核评价体系中，</w:t>
      </w:r>
      <w:r>
        <w:rPr>
          <w:rFonts w:hint="eastAsia"/>
          <w:szCs w:val="30"/>
          <w:highlight w:val="none"/>
        </w:rPr>
        <w:t>扩充</w:t>
      </w:r>
      <w:r>
        <w:rPr>
          <w:szCs w:val="30"/>
          <w:highlight w:val="none"/>
        </w:rPr>
        <w:t>生态文明建设考核指标，</w:t>
      </w:r>
      <w:r>
        <w:rPr>
          <w:rFonts w:hint="eastAsia"/>
          <w:highlight w:val="none"/>
        </w:rPr>
        <w:t>逐步提升生态文明建设工作占党政实绩考核比例，</w:t>
      </w:r>
      <w:r>
        <w:rPr>
          <w:highlight w:val="none"/>
        </w:rPr>
        <w:t>对生态文明建设实现全面有效考核。根据</w:t>
      </w:r>
      <w:r>
        <w:rPr>
          <w:rFonts w:hint="eastAsia"/>
          <w:highlight w:val="none"/>
        </w:rPr>
        <w:t>主体</w:t>
      </w:r>
      <w:r>
        <w:rPr>
          <w:highlight w:val="none"/>
        </w:rPr>
        <w:t>功能区划，按照不同乡镇、开发区、功能区的定位，</w:t>
      </w:r>
      <w:r>
        <w:rPr>
          <w:rFonts w:hint="eastAsia"/>
          <w:highlight w:val="none"/>
        </w:rPr>
        <w:t>设置</w:t>
      </w:r>
      <w:r>
        <w:rPr>
          <w:highlight w:val="none"/>
        </w:rPr>
        <w:t>差异化绩效考核体系，使考核结果客观、全面、公正。</w:t>
      </w:r>
    </w:p>
    <w:p>
      <w:pPr>
        <w:pStyle w:val="4"/>
        <w:spacing w:before="156"/>
        <w:rPr>
          <w:highlight w:val="none"/>
        </w:rPr>
      </w:pPr>
      <w:r>
        <w:rPr>
          <w:rFonts w:hint="eastAsia"/>
          <w:highlight w:val="none"/>
        </w:rPr>
        <w:t>健全</w:t>
      </w:r>
      <w:r>
        <w:rPr>
          <w:highlight w:val="none"/>
        </w:rPr>
        <w:t>自然资源资产</w:t>
      </w:r>
      <w:r>
        <w:rPr>
          <w:rFonts w:hint="eastAsia"/>
          <w:highlight w:val="none"/>
        </w:rPr>
        <w:t>离任任中</w:t>
      </w:r>
      <w:r>
        <w:rPr>
          <w:highlight w:val="none"/>
        </w:rPr>
        <w:t>审计制度</w:t>
      </w:r>
    </w:p>
    <w:p>
      <w:pPr>
        <w:ind w:firstLine="560"/>
        <w:rPr>
          <w:highlight w:val="none"/>
          <w:lang w:val="zh-CN"/>
        </w:rPr>
      </w:pPr>
      <w:r>
        <w:rPr>
          <w:highlight w:val="none"/>
        </w:rPr>
        <w:t>强化资源利用和生态环境保护的审计监督。根据组织部门委托，对各级党委、政府及发展改革、国土资源、水利、农业、自然资源等承担自然资源资产管理和生态环境保护工作部门（单位）的主要领导干部开展自然资源资产离任（任中）审计。主要对贯彻执行中央生态文明建设方针政策和决策部署、遵守自然资源资产管理和生态环境保护法律法规、相关重大决策、完成目标任务、履行监督责任、资金征管使用、项目建设运行等情况进行审计</w:t>
      </w:r>
      <w:r>
        <w:rPr>
          <w:rFonts w:hint="eastAsia"/>
          <w:highlight w:val="none"/>
        </w:rPr>
        <w:t>。</w:t>
      </w:r>
      <w:r>
        <w:rPr>
          <w:highlight w:val="none"/>
        </w:rPr>
        <w:t>通过审计，建立健全自然资源资产审计评价指标体系，将定性评价与定量评价相结合，客观评价被审计领导干部履行自然资源资产管理和生态环境保护责任情况，促进自然资源资产节约集约利用和生态环境安全。</w:t>
      </w:r>
    </w:p>
    <w:p>
      <w:pPr>
        <w:pStyle w:val="4"/>
        <w:spacing w:before="156"/>
        <w:rPr>
          <w:highlight w:val="none"/>
        </w:rPr>
      </w:pPr>
      <w:r>
        <w:rPr>
          <w:rFonts w:hint="eastAsia"/>
          <w:highlight w:val="none"/>
        </w:rPr>
        <w:t>实施生态环境责任追究损害赔偿制度</w:t>
      </w:r>
    </w:p>
    <w:p>
      <w:pPr>
        <w:ind w:firstLine="562"/>
        <w:rPr>
          <w:highlight w:val="none"/>
        </w:rPr>
      </w:pPr>
      <w:r>
        <w:rPr>
          <w:b/>
          <w:bCs/>
          <w:szCs w:val="30"/>
          <w:highlight w:val="none"/>
        </w:rPr>
        <w:t>建立生态环境损害赔偿制度，落实损害主体责任</w:t>
      </w:r>
      <w:r>
        <w:rPr>
          <w:szCs w:val="30"/>
          <w:highlight w:val="none"/>
        </w:rPr>
        <w:t>。</w:t>
      </w:r>
      <w:r>
        <w:rPr>
          <w:rFonts w:cs="Times New Roman"/>
          <w:szCs w:val="28"/>
          <w:highlight w:val="none"/>
        </w:rPr>
        <w:t>严格执行《山东省党政领导干部生态环境损害责任追究实施细则》，</w:t>
      </w:r>
      <w:r>
        <w:rPr>
          <w:rFonts w:hint="eastAsia" w:cs="Times New Roman"/>
          <w:szCs w:val="28"/>
          <w:highlight w:val="none"/>
        </w:rPr>
        <w:t>实行党委和政府领导成员生态文明建设一岗双责制，</w:t>
      </w:r>
      <w:r>
        <w:rPr>
          <w:rFonts w:hint="eastAsia"/>
          <w:highlight w:val="none"/>
        </w:rPr>
        <w:t>落实党政领导干部生态环境损害责任追究联席会议制度，对违背科学发展要求、推动生态文明建设不力、造成生态环境损害的领导干部实行终身追责。形成相应的生态环境损害赔偿鉴定评估管理和技术体系、资金保障和运行机制，逐步建全生态环境损害修复和赔偿制度。</w:t>
      </w:r>
    </w:p>
    <w:p>
      <w:pPr>
        <w:ind w:firstLine="562"/>
        <w:rPr>
          <w:highlight w:val="none"/>
        </w:rPr>
      </w:pPr>
      <w:r>
        <w:rPr>
          <w:rFonts w:hint="eastAsia" w:cs="Times New Roman"/>
          <w:b/>
          <w:szCs w:val="28"/>
          <w:highlight w:val="none"/>
        </w:rPr>
        <w:t>建立生态环境损害责任终身追究制度。</w:t>
      </w:r>
      <w:bookmarkStart w:id="175" w:name="_Hlk68780142"/>
      <w:r>
        <w:rPr>
          <w:rFonts w:hint="eastAsia" w:cs="Times New Roman"/>
          <w:szCs w:val="28"/>
          <w:highlight w:val="none"/>
        </w:rPr>
        <w:t>以自然资源资产离任审计结果和生态环境损害情况为依据，明确对党委和政府领导班子主要负责人、有关领导人员、部门负责人的追责情形和认定程序。完善生态环境保护责任</w:t>
      </w:r>
      <w:r>
        <w:rPr>
          <w:rFonts w:hint="eastAsia"/>
          <w:highlight w:val="none"/>
        </w:rPr>
        <w:t>规定</w:t>
      </w:r>
      <w:r>
        <w:rPr>
          <w:rFonts w:hint="eastAsia" w:cs="Times New Roman"/>
          <w:szCs w:val="28"/>
          <w:highlight w:val="none"/>
        </w:rPr>
        <w:t>，建立管发展必须管环保、管生产必须管环保、管行业必须管环保的生态环境保护工作责任体系。</w:t>
      </w:r>
      <w:r>
        <w:rPr>
          <w:rFonts w:hint="eastAsia"/>
          <w:highlight w:val="none"/>
        </w:rPr>
        <w:t>将“终身追究”作为生态环境损害责任追究的一项基本原则，规定对违背科学发展要求、造成生态环境和资源严重破坏的，责任人不论是否已调离、提拔或者退休，都必须严格追责。</w:t>
      </w:r>
      <w:bookmarkEnd w:id="175"/>
    </w:p>
    <w:bookmarkEnd w:id="173"/>
    <w:bookmarkEnd w:id="174"/>
    <w:p>
      <w:pPr>
        <w:pStyle w:val="3"/>
        <w:rPr>
          <w:b/>
          <w:bCs w:val="0"/>
          <w:highlight w:val="none"/>
        </w:rPr>
      </w:pPr>
      <w:bookmarkStart w:id="176" w:name="_Toc23239"/>
      <w:bookmarkStart w:id="177" w:name="_Toc4279"/>
      <w:bookmarkStart w:id="178" w:name="_Toc9722"/>
      <w:bookmarkStart w:id="179" w:name="_Toc15517"/>
      <w:bookmarkStart w:id="180" w:name="_Toc143041434"/>
      <w:r>
        <w:rPr>
          <w:rFonts w:hint="eastAsia"/>
          <w:b/>
          <w:bCs w:val="0"/>
          <w:highlight w:val="none"/>
        </w:rPr>
        <w:t>建立健全现代环境治理体系</w:t>
      </w:r>
      <w:bookmarkEnd w:id="176"/>
      <w:bookmarkEnd w:id="177"/>
      <w:bookmarkEnd w:id="178"/>
      <w:bookmarkEnd w:id="179"/>
      <w:bookmarkEnd w:id="180"/>
    </w:p>
    <w:p>
      <w:pPr>
        <w:ind w:firstLine="560"/>
        <w:rPr>
          <w:highlight w:val="none"/>
        </w:rPr>
      </w:pPr>
      <w:r>
        <w:rPr>
          <w:highlight w:val="none"/>
        </w:rPr>
        <w:t>按照中共中央办公厅、国务院办公厅印发《关于构建现代环境治理体系的指导意见》要求，积极构建党政领导、政府主导、企业主体、社会组织和公众共同参与的多元化现代环境治理体系。</w:t>
      </w:r>
      <w:bookmarkStart w:id="181" w:name="_Toc72763672"/>
      <w:r>
        <w:rPr>
          <w:rFonts w:hint="eastAsia"/>
          <w:highlight w:val="none"/>
        </w:rPr>
        <w:t>加快实现治理主体多元化、机构设置协同化、监管体系系统化、管理过程精细化、监管操作规范化、管理载体智慧化、价值实现市场化等。</w:t>
      </w:r>
    </w:p>
    <w:p>
      <w:pPr>
        <w:pStyle w:val="4"/>
        <w:spacing w:before="156"/>
        <w:rPr>
          <w:highlight w:val="none"/>
        </w:rPr>
      </w:pPr>
      <w:r>
        <w:rPr>
          <w:highlight w:val="none"/>
        </w:rPr>
        <w:t>健全环境治理领导责任体系</w:t>
      </w:r>
      <w:bookmarkEnd w:id="181"/>
    </w:p>
    <w:p>
      <w:pPr>
        <w:ind w:firstLine="562"/>
        <w:rPr>
          <w:highlight w:val="none"/>
        </w:rPr>
      </w:pPr>
      <w:r>
        <w:rPr>
          <w:b/>
          <w:bCs/>
          <w:highlight w:val="none"/>
        </w:rPr>
        <w:t>发挥政府引导协调作用。</w:t>
      </w:r>
      <w:r>
        <w:rPr>
          <w:highlight w:val="none"/>
        </w:rPr>
        <w:t>对照泰</w:t>
      </w:r>
      <w:r>
        <w:rPr>
          <w:rFonts w:hint="eastAsia"/>
          <w:highlight w:val="none"/>
        </w:rPr>
        <w:t>山区</w:t>
      </w:r>
      <w:r>
        <w:rPr>
          <w:rFonts w:hint="eastAsia"/>
          <w:highlight w:val="none"/>
          <w:lang w:eastAsia="zh-CN"/>
        </w:rPr>
        <w:t>各部门生态环境保护职责</w:t>
      </w:r>
      <w:r>
        <w:rPr>
          <w:rFonts w:hint="eastAsia"/>
          <w:highlight w:val="none"/>
        </w:rPr>
        <w:t>，</w:t>
      </w:r>
      <w:r>
        <w:rPr>
          <w:highlight w:val="none"/>
        </w:rPr>
        <w:t>进一步压紧压实各级各部门责任，统筹做好监管执法、市场规范、资金安排、宣传教育等工作。发挥政府在生态环境治理中的引导型</w:t>
      </w:r>
      <w:r>
        <w:rPr>
          <w:rFonts w:hint="eastAsia"/>
          <w:highlight w:val="none"/>
        </w:rPr>
        <w:t>职能</w:t>
      </w:r>
      <w:r>
        <w:rPr>
          <w:highlight w:val="none"/>
        </w:rPr>
        <w:t>，引导全社会生态文明</w:t>
      </w:r>
      <w:r>
        <w:rPr>
          <w:rFonts w:hint="eastAsia"/>
          <w:highlight w:val="none"/>
        </w:rPr>
        <w:t>理念</w:t>
      </w:r>
      <w:r>
        <w:rPr>
          <w:highlight w:val="none"/>
        </w:rPr>
        <w:t>树立、提供强有力的生态环境治理法律法规环境、构建和创新有效的生态治理机制、理顺生态环境治理中政府与市场关系、推动多元治理主体共同合作以及理性参与</w:t>
      </w:r>
      <w:r>
        <w:rPr>
          <w:rFonts w:hint="eastAsia"/>
          <w:highlight w:val="none"/>
        </w:rPr>
        <w:t>等</w:t>
      </w:r>
      <w:r>
        <w:rPr>
          <w:highlight w:val="none"/>
        </w:rPr>
        <w:t>。</w:t>
      </w:r>
      <w:r>
        <w:rPr>
          <w:rFonts w:hint="eastAsia"/>
          <w:b/>
          <w:bCs/>
          <w:highlight w:val="none"/>
        </w:rPr>
        <w:t>提高环境工作在政府考核中所占比例。</w:t>
      </w:r>
      <w:r>
        <w:rPr>
          <w:rFonts w:hint="eastAsia"/>
          <w:highlight w:val="none"/>
        </w:rPr>
        <w:t>精简整合环境治理、生态文明等相关专项考核，</w:t>
      </w:r>
      <w:r>
        <w:rPr>
          <w:highlight w:val="none"/>
        </w:rPr>
        <w:t>着眼环</w:t>
      </w:r>
      <w:r>
        <w:rPr>
          <w:rFonts w:hint="eastAsia"/>
          <w:highlight w:val="none"/>
        </w:rPr>
        <w:t>境质量改善，合理设定符合实际、体现特色的约束性和预期性目标，纳入国民经济和社会发展规划、国土空间规划以及相关专项规划。承担好</w:t>
      </w:r>
      <w:r>
        <w:rPr>
          <w:highlight w:val="none"/>
        </w:rPr>
        <w:t>环境治理支出责任</w:t>
      </w:r>
      <w:r>
        <w:rPr>
          <w:rFonts w:hint="eastAsia"/>
          <w:highlight w:val="none"/>
        </w:rPr>
        <w:t>，积极争取加大转移支付资金中用于环境治理的份额。</w:t>
      </w:r>
      <w:r>
        <w:rPr>
          <w:rFonts w:hint="eastAsia"/>
          <w:b/>
          <w:bCs/>
          <w:highlight w:val="none"/>
        </w:rPr>
        <w:t>强化督导问责压实环保责任。</w:t>
      </w:r>
      <w:r>
        <w:rPr>
          <w:rFonts w:hint="eastAsia"/>
          <w:highlight w:val="none"/>
        </w:rPr>
        <w:t>深化生态环境保护督察。以解决突出生态环境问题、改善生态环境质量、推动经济高质量发展为重点，推进例行督察，加强专项督察，严格督察整改。进一步完善排查、交办、核查、约谈、专项督察“五步法”工作模式，强化监督帮扶，压实生态环境保护责任。</w:t>
      </w:r>
    </w:p>
    <w:p>
      <w:pPr>
        <w:pStyle w:val="4"/>
        <w:spacing w:before="156"/>
        <w:rPr>
          <w:highlight w:val="none"/>
        </w:rPr>
      </w:pPr>
      <w:bookmarkStart w:id="182" w:name="_Toc72763673"/>
      <w:r>
        <w:rPr>
          <w:highlight w:val="none"/>
        </w:rPr>
        <w:t>探索环境治理企业责任体系</w:t>
      </w:r>
      <w:bookmarkEnd w:id="182"/>
    </w:p>
    <w:p>
      <w:pPr>
        <w:ind w:firstLine="562"/>
        <w:rPr>
          <w:highlight w:val="none"/>
        </w:rPr>
      </w:pPr>
      <w:r>
        <w:rPr>
          <w:rFonts w:hint="eastAsia"/>
          <w:b/>
          <w:bCs/>
          <w:highlight w:val="none"/>
        </w:rPr>
        <w:t>依法实行排污许可管理制度。</w:t>
      </w:r>
      <w:r>
        <w:rPr>
          <w:rFonts w:hint="eastAsia"/>
          <w:highlight w:val="none"/>
        </w:rPr>
        <w:t>加强对企业排污行为的监督检查。做好环评管准入与许可管排污的衔接，以实现从污染预防到排放控制、污染治理的全过程监管。</w:t>
      </w:r>
      <w:r>
        <w:rPr>
          <w:rFonts w:hint="eastAsia"/>
          <w:b/>
          <w:bCs/>
          <w:highlight w:val="none"/>
        </w:rPr>
        <w:t>推进生产服务绿色化体系构建。</w:t>
      </w:r>
      <w:r>
        <w:rPr>
          <w:rFonts w:hint="eastAsia"/>
          <w:highlight w:val="none"/>
        </w:rPr>
        <w:t>加快发展绿色产业，鼓励企业积极践行绿色生产方式，加快构建科技含量高、资源消耗低、环境污染少的产业结构和生产方式。</w:t>
      </w:r>
      <w:r>
        <w:rPr>
          <w:rFonts w:hint="eastAsia"/>
          <w:b/>
          <w:bCs/>
          <w:highlight w:val="none"/>
        </w:rPr>
        <w:t>提高企业治污能力和水平。</w:t>
      </w:r>
      <w:r>
        <w:rPr>
          <w:rFonts w:hint="eastAsia"/>
          <w:highlight w:val="none"/>
        </w:rPr>
        <w:t>加强企业环境治理责任制度建设，督促企业严格执行法律法规，接受社会监督。通过深入专业的指导服务，帮助企业提升自身污染防治能力，推动企业环境问题解决。重点排污企业要安装使用监测设备并确保正常运行，坚决杜绝治理效果和监测数据造假。</w:t>
      </w:r>
      <w:r>
        <w:rPr>
          <w:b/>
          <w:bCs/>
          <w:highlight w:val="none"/>
        </w:rPr>
        <w:t>推进企业环境信息公开。</w:t>
      </w:r>
      <w:r>
        <w:rPr>
          <w:highlight w:val="none"/>
        </w:rPr>
        <w:t>排污企业</w:t>
      </w:r>
      <w:r>
        <w:rPr>
          <w:rFonts w:hint="eastAsia"/>
          <w:highlight w:val="none"/>
        </w:rPr>
        <w:t>应</w:t>
      </w:r>
      <w:r>
        <w:rPr>
          <w:highlight w:val="none"/>
        </w:rPr>
        <w:t>按照《企业事业单位环境信息公开办法》</w:t>
      </w:r>
      <w:r>
        <w:rPr>
          <w:rFonts w:hint="eastAsia"/>
          <w:highlight w:val="none"/>
        </w:rPr>
        <w:t>，</w:t>
      </w:r>
      <w:r>
        <w:rPr>
          <w:highlight w:val="none"/>
        </w:rPr>
        <w:t>及时</w:t>
      </w:r>
      <w:r>
        <w:rPr>
          <w:rFonts w:hint="eastAsia"/>
          <w:highlight w:val="none"/>
        </w:rPr>
        <w:t>依法</w:t>
      </w:r>
      <w:r>
        <w:rPr>
          <w:highlight w:val="none"/>
        </w:rPr>
        <w:t>公开主要污染物名称、排放方式、执行标准以及污染防治设施建设和运行情况，</w:t>
      </w:r>
      <w:r>
        <w:rPr>
          <w:rFonts w:hint="eastAsia"/>
          <w:highlight w:val="none"/>
        </w:rPr>
        <w:t>并对信息真实性负责。</w:t>
      </w:r>
    </w:p>
    <w:p>
      <w:pPr>
        <w:pStyle w:val="4"/>
        <w:spacing w:before="156"/>
        <w:rPr>
          <w:highlight w:val="none"/>
        </w:rPr>
      </w:pPr>
      <w:bookmarkStart w:id="183" w:name="_Toc72763674"/>
      <w:r>
        <w:rPr>
          <w:highlight w:val="none"/>
        </w:rPr>
        <w:t>倡导环境治理全民行动体系</w:t>
      </w:r>
      <w:bookmarkEnd w:id="183"/>
    </w:p>
    <w:p>
      <w:pPr>
        <w:ind w:firstLine="562"/>
        <w:rPr>
          <w:highlight w:val="none"/>
        </w:rPr>
      </w:pPr>
      <w:r>
        <w:rPr>
          <w:b/>
          <w:bCs/>
          <w:highlight w:val="none"/>
        </w:rPr>
        <w:t>完善生态环境社会监督</w:t>
      </w:r>
      <w:r>
        <w:rPr>
          <w:rFonts w:hint="eastAsia"/>
          <w:b/>
          <w:bCs/>
          <w:highlight w:val="none"/>
        </w:rPr>
        <w:t>与公众</w:t>
      </w:r>
      <w:r>
        <w:rPr>
          <w:b/>
          <w:bCs/>
          <w:highlight w:val="none"/>
        </w:rPr>
        <w:t>举报机制。</w:t>
      </w:r>
      <w:r>
        <w:rPr>
          <w:highlight w:val="none"/>
        </w:rPr>
        <w:t>鼓励公民、法人和其他社会组织就生态环境问题进行举报，建立公众参与的环境后督察和后评估机制。完善环境舆论监督制度</w:t>
      </w:r>
      <w:r>
        <w:rPr>
          <w:rFonts w:hint="eastAsia"/>
          <w:highlight w:val="none"/>
        </w:rPr>
        <w:t>与</w:t>
      </w:r>
      <w:r>
        <w:rPr>
          <w:highlight w:val="none"/>
        </w:rPr>
        <w:t>环境信访制度，</w:t>
      </w:r>
      <w:r>
        <w:rPr>
          <w:rFonts w:hint="eastAsia"/>
          <w:highlight w:val="none"/>
        </w:rPr>
        <w:t>推动</w:t>
      </w:r>
      <w:r>
        <w:rPr>
          <w:highlight w:val="none"/>
        </w:rPr>
        <w:t>信访查处和积案化解。畅通群众举报投诉渠道，及时回应群众关切。</w:t>
      </w:r>
      <w:r>
        <w:rPr>
          <w:rFonts w:hint="eastAsia"/>
          <w:highlight w:val="none"/>
        </w:rPr>
        <w:t>发挥工会、共青团、妇联等各类社会团体作用参与环境治理。推进环境保护宣传教育进学校、进家庭、进社区、进工厂、进机关。引导公民自觉履行环境保护责任，践行绿色生活方式，倡导绿色出行、绿色消费。</w:t>
      </w:r>
    </w:p>
    <w:p>
      <w:pPr>
        <w:ind w:firstLine="562"/>
        <w:rPr>
          <w:highlight w:val="none"/>
        </w:rPr>
      </w:pPr>
      <w:r>
        <w:rPr>
          <w:b/>
          <w:bCs/>
          <w:highlight w:val="none"/>
        </w:rPr>
        <w:t>进一步完善环境保护公众参与机制。</w:t>
      </w:r>
      <w:r>
        <w:rPr>
          <w:highlight w:val="none"/>
        </w:rPr>
        <w:t>明确公众参与环境决策的原则与范围，规范参与程序和方式，强化决策的有效性。建立完善政府及企业环保信息公开制度</w:t>
      </w:r>
      <w:r>
        <w:rPr>
          <w:rFonts w:hint="eastAsia"/>
          <w:highlight w:val="none"/>
        </w:rPr>
        <w:t>、</w:t>
      </w:r>
      <w:r>
        <w:rPr>
          <w:highlight w:val="none"/>
        </w:rPr>
        <w:t>环境决策听证会制度</w:t>
      </w:r>
      <w:r>
        <w:rPr>
          <w:rFonts w:hint="eastAsia"/>
          <w:highlight w:val="none"/>
        </w:rPr>
        <w:t>、</w:t>
      </w:r>
      <w:r>
        <w:rPr>
          <w:highlight w:val="none"/>
        </w:rPr>
        <w:t>专家协助公众参与制度</w:t>
      </w:r>
      <w:r>
        <w:rPr>
          <w:rFonts w:hint="eastAsia"/>
          <w:highlight w:val="none"/>
        </w:rPr>
        <w:t>、</w:t>
      </w:r>
      <w:r>
        <w:rPr>
          <w:highlight w:val="none"/>
        </w:rPr>
        <w:t>环境公益诉讼制度；搭建多样化信息交流渠道和平台，以电视、网络、报刊、问卷、听证会、座谈会、走访等多种形式开展公众参与。每年进行生态文明建设满意度调查，不断提高公众环境满意度。</w:t>
      </w:r>
    </w:p>
    <w:p>
      <w:pPr>
        <w:pStyle w:val="4"/>
        <w:spacing w:before="156"/>
        <w:rPr>
          <w:highlight w:val="none"/>
        </w:rPr>
      </w:pPr>
      <w:bookmarkStart w:id="184" w:name="_Toc72763675"/>
      <w:r>
        <w:rPr>
          <w:highlight w:val="none"/>
        </w:rPr>
        <w:t>创新环境治理</w:t>
      </w:r>
      <w:r>
        <w:rPr>
          <w:rFonts w:hint="eastAsia"/>
          <w:highlight w:val="none"/>
        </w:rPr>
        <w:t>监测</w:t>
      </w:r>
      <w:r>
        <w:rPr>
          <w:highlight w:val="none"/>
        </w:rPr>
        <w:t>监管体系</w:t>
      </w:r>
      <w:bookmarkEnd w:id="184"/>
      <w:bookmarkStart w:id="185" w:name="_Toc15739"/>
      <w:bookmarkStart w:id="186" w:name="_Toc532769010"/>
    </w:p>
    <w:p>
      <w:pPr>
        <w:ind w:firstLine="562"/>
        <w:rPr>
          <w:highlight w:val="none"/>
        </w:rPr>
      </w:pPr>
      <w:r>
        <w:rPr>
          <w:b/>
          <w:bCs/>
          <w:highlight w:val="none"/>
        </w:rPr>
        <w:t>推进环境信息共享平台建设</w:t>
      </w:r>
      <w:bookmarkEnd w:id="185"/>
      <w:bookmarkEnd w:id="186"/>
      <w:r>
        <w:rPr>
          <w:b/>
          <w:bCs/>
          <w:highlight w:val="none"/>
        </w:rPr>
        <w:t>。</w:t>
      </w:r>
      <w:r>
        <w:rPr>
          <w:highlight w:val="none"/>
        </w:rPr>
        <w:t>在各部门之间建立生态文明建设联席会议制度，定期召开生态文明建设联席会议。各职能部门依据其职责范围、生态文明建设的任务分工和信息共享需求，编制生态文明建设信息资源共享目录。做好规范信息采集工作，确保信息真实、可靠、完整、及时，直接接入生态文明建设信息共享平台。</w:t>
      </w:r>
    </w:p>
    <w:p>
      <w:pPr>
        <w:ind w:firstLine="562"/>
        <w:rPr>
          <w:highlight w:val="none"/>
        </w:rPr>
      </w:pPr>
      <w:r>
        <w:rPr>
          <w:rFonts w:hint="eastAsia"/>
          <w:b/>
          <w:bCs/>
          <w:highlight w:val="none"/>
        </w:rPr>
        <w:t>健全生态环境监测体系。</w:t>
      </w:r>
      <w:r>
        <w:rPr>
          <w:highlight w:val="none"/>
        </w:rPr>
        <w:t>建立并完善监测、预警、影响评估有机衔接的环境监测业务服务体系。实现环境质量、污染源和生态状况监测全覆盖。进一步加强生态环境监测数据的资源开发与应用，充分发挥监测数据共享作用，推进各部门监测数据的有效集成、互联共享，形成完善的生态环境监测网</w:t>
      </w:r>
      <w:r>
        <w:rPr>
          <w:rFonts w:hint="eastAsia"/>
          <w:highlight w:val="none"/>
        </w:rPr>
        <w:t>。</w:t>
      </w:r>
      <w:r>
        <w:rPr>
          <w:highlight w:val="none"/>
        </w:rPr>
        <w:t>建立环境监测和风险评估制度，提升政府对生态环境的管控能力，形成生态文明统计监测的长效机制，通过建立监测要素明确、监测方法科学、监测标准统一、效果评价规范的生态环境监测体系，更好地推进生态环境有序、稳步地恢复和改善。强化监测能力建设。不断完善生态环境监测技术体系，全面提高监测自动化、标准化、信息化水平，确保监测数据</w:t>
      </w:r>
      <w:r>
        <w:rPr>
          <w:rFonts w:hint="eastAsia"/>
          <w:highlight w:val="none"/>
        </w:rPr>
        <w:t>“</w:t>
      </w:r>
      <w:r>
        <w:rPr>
          <w:highlight w:val="none"/>
        </w:rPr>
        <w:t>真、准、全</w:t>
      </w:r>
      <w:r>
        <w:rPr>
          <w:rFonts w:hint="eastAsia"/>
          <w:highlight w:val="none"/>
        </w:rPr>
        <w:t>”</w:t>
      </w:r>
      <w:r>
        <w:rPr>
          <w:highlight w:val="none"/>
        </w:rPr>
        <w:t>。</w:t>
      </w:r>
    </w:p>
    <w:p>
      <w:pPr>
        <w:widowControl/>
        <w:spacing w:after="156" w:line="312" w:lineRule="auto"/>
        <w:ind w:firstLine="562"/>
        <w:rPr>
          <w:szCs w:val="30"/>
          <w:highlight w:val="none"/>
        </w:rPr>
      </w:pPr>
      <w:r>
        <w:rPr>
          <w:b/>
          <w:bCs/>
          <w:szCs w:val="30"/>
          <w:highlight w:val="none"/>
        </w:rPr>
        <w:t>健全环境治理信用体系</w:t>
      </w:r>
      <w:r>
        <w:rPr>
          <w:szCs w:val="30"/>
          <w:highlight w:val="none"/>
        </w:rPr>
        <w:t>。</w:t>
      </w:r>
      <w:r>
        <w:rPr>
          <w:rFonts w:hint="eastAsia"/>
          <w:szCs w:val="30"/>
          <w:highlight w:val="none"/>
        </w:rPr>
        <w:t>加强政务诚信建设。建立健全环境治理政务失信记录，将公职人员在环境保护工作中违法违规等信息纳入政务失信记录，依托“信用中国”网站等依法依规逐步公开。健全企业信用建设。完善企业环保信用评价制度，依据评价结果实施分级分类监管。建立排污企业黑名单制度，将环境违法企业依法依规纳入失信联合惩戒对象名单，将其违法信息记入信用记录，并按照国家有关规定纳入全国信用信息共享平台，依法向社会公开。</w:t>
      </w:r>
    </w:p>
    <w:p>
      <w:pPr>
        <w:ind w:firstLine="560"/>
        <w:rPr>
          <w:highlight w:val="none"/>
        </w:rPr>
      </w:pPr>
      <w:bookmarkStart w:id="187" w:name="_Toc4051"/>
      <w:bookmarkStart w:id="188" w:name="_Toc143041436"/>
      <w:bookmarkStart w:id="189" w:name="_Toc10934"/>
      <w:r>
        <w:rPr>
          <w:highlight w:val="none"/>
        </w:rPr>
        <w:br w:type="page"/>
      </w:r>
    </w:p>
    <w:p>
      <w:pPr>
        <w:pStyle w:val="2"/>
        <w:rPr>
          <w:highlight w:val="none"/>
        </w:rPr>
      </w:pPr>
      <w:bookmarkStart w:id="190" w:name="_Toc8249"/>
      <w:r>
        <w:rPr>
          <w:highlight w:val="none"/>
        </w:rPr>
        <w:t>生态</w:t>
      </w:r>
      <w:r>
        <w:rPr>
          <w:rFonts w:hint="eastAsia"/>
          <w:highlight w:val="none"/>
        </w:rPr>
        <w:t>安全体系</w:t>
      </w:r>
      <w:r>
        <w:rPr>
          <w:highlight w:val="none"/>
        </w:rPr>
        <w:t>建设规划</w:t>
      </w:r>
      <w:bookmarkEnd w:id="187"/>
      <w:bookmarkEnd w:id="188"/>
      <w:bookmarkEnd w:id="189"/>
      <w:bookmarkEnd w:id="190"/>
    </w:p>
    <w:p>
      <w:pPr>
        <w:pStyle w:val="3"/>
        <w:rPr>
          <w:b/>
          <w:bCs w:val="0"/>
          <w:highlight w:val="none"/>
        </w:rPr>
      </w:pPr>
      <w:bookmarkStart w:id="191" w:name="_Toc13957"/>
      <w:bookmarkStart w:id="192" w:name="_Toc4614"/>
      <w:bookmarkStart w:id="193" w:name="_Toc143041437"/>
      <w:bookmarkStart w:id="194" w:name="_Toc14117"/>
      <w:r>
        <w:rPr>
          <w:rFonts w:hint="eastAsia"/>
          <w:b/>
          <w:bCs w:val="0"/>
          <w:highlight w:val="none"/>
        </w:rPr>
        <w:t>巩固并提升水环境质量</w:t>
      </w:r>
      <w:bookmarkEnd w:id="191"/>
      <w:bookmarkEnd w:id="192"/>
      <w:bookmarkEnd w:id="193"/>
      <w:bookmarkEnd w:id="194"/>
    </w:p>
    <w:p>
      <w:pPr>
        <w:pStyle w:val="4"/>
        <w:spacing w:before="156"/>
        <w:rPr>
          <w:highlight w:val="none"/>
        </w:rPr>
      </w:pPr>
      <w:r>
        <w:rPr>
          <w:highlight w:val="none"/>
        </w:rPr>
        <w:t>实施重点流域水环境综合整治</w:t>
      </w:r>
    </w:p>
    <w:p>
      <w:pPr>
        <w:ind w:firstLine="562"/>
        <w:rPr>
          <w:highlight w:val="none"/>
        </w:rPr>
      </w:pPr>
      <w:r>
        <w:rPr>
          <w:b/>
          <w:bCs/>
          <w:highlight w:val="none"/>
        </w:rPr>
        <w:t>持续推进</w:t>
      </w:r>
      <w:r>
        <w:rPr>
          <w:rFonts w:hint="eastAsia"/>
          <w:b/>
          <w:bCs/>
          <w:highlight w:val="none"/>
        </w:rPr>
        <w:t>安家林水库</w:t>
      </w:r>
      <w:r>
        <w:rPr>
          <w:b/>
          <w:bCs/>
          <w:highlight w:val="none"/>
        </w:rPr>
        <w:t>等良好水体保护。</w:t>
      </w:r>
      <w:r>
        <w:rPr>
          <w:highlight w:val="none"/>
        </w:rPr>
        <w:t>开展</w:t>
      </w:r>
      <w:r>
        <w:rPr>
          <w:rFonts w:hint="eastAsia"/>
          <w:highlight w:val="none"/>
        </w:rPr>
        <w:t>安家林水库、刘家庄水库和其他水体保护。</w:t>
      </w:r>
      <w:r>
        <w:rPr>
          <w:highlight w:val="none"/>
        </w:rPr>
        <w:t>开展珍惜濒危水生生物和重要水产种质资源的就地和迁地保护，提高水生生物多样性。</w:t>
      </w:r>
      <w:r>
        <w:rPr>
          <w:b/>
          <w:bCs/>
          <w:highlight w:val="none"/>
        </w:rPr>
        <w:t>加快重点河湖水环境综合治理。</w:t>
      </w:r>
      <w:r>
        <w:rPr>
          <w:highlight w:val="none"/>
        </w:rPr>
        <w:t>严格落实河长制、湖长制</w:t>
      </w:r>
      <w:r>
        <w:rPr>
          <w:rFonts w:hint="eastAsia"/>
          <w:highlight w:val="none"/>
        </w:rPr>
        <w:t>，</w:t>
      </w:r>
      <w:r>
        <w:rPr>
          <w:highlight w:val="none"/>
        </w:rPr>
        <w:t>推动三级河长巡河治水常态化，以</w:t>
      </w:r>
      <w:r>
        <w:rPr>
          <w:rFonts w:hint="eastAsia"/>
          <w:highlight w:val="none"/>
        </w:rPr>
        <w:t>梳洗河、明堂河、芝田河</w:t>
      </w:r>
      <w:r>
        <w:rPr>
          <w:highlight w:val="none"/>
        </w:rPr>
        <w:t>等水质不能稳定达标的河湖水系为重点，开展水环境综合整治，制定并实施</w:t>
      </w:r>
      <w:r>
        <w:rPr>
          <w:rFonts w:hint="eastAsia"/>
          <w:highlight w:val="none"/>
        </w:rPr>
        <w:t>“</w:t>
      </w:r>
      <w:r>
        <w:rPr>
          <w:highlight w:val="none"/>
        </w:rPr>
        <w:t>一河一策</w:t>
      </w:r>
      <w:r>
        <w:rPr>
          <w:rFonts w:hint="eastAsia"/>
          <w:highlight w:val="none"/>
        </w:rPr>
        <w:t>”</w:t>
      </w:r>
      <w:r>
        <w:rPr>
          <w:highlight w:val="none"/>
        </w:rPr>
        <w:t>水生态环境治理方案，实施</w:t>
      </w:r>
      <w:r>
        <w:rPr>
          <w:rFonts w:hint="eastAsia"/>
          <w:highlight w:val="none"/>
        </w:rPr>
        <w:t>“</w:t>
      </w:r>
      <w:r>
        <w:rPr>
          <w:highlight w:val="none"/>
        </w:rPr>
        <w:t>清河行动</w:t>
      </w:r>
      <w:r>
        <w:rPr>
          <w:rFonts w:hint="eastAsia"/>
          <w:highlight w:val="none"/>
        </w:rPr>
        <w:t>”</w:t>
      </w:r>
      <w:r>
        <w:rPr>
          <w:highlight w:val="none"/>
        </w:rPr>
        <w:t>，加快推进</w:t>
      </w:r>
      <w:r>
        <w:rPr>
          <w:rFonts w:hint="eastAsia"/>
          <w:highlight w:val="none"/>
        </w:rPr>
        <w:t>明堂河</w:t>
      </w:r>
      <w:r>
        <w:rPr>
          <w:highlight w:val="none"/>
        </w:rPr>
        <w:t>水质</w:t>
      </w:r>
      <w:r>
        <w:rPr>
          <w:rFonts w:hint="eastAsia"/>
          <w:highlight w:val="none"/>
        </w:rPr>
        <w:t>改善，力争</w:t>
      </w:r>
      <w:r>
        <w:rPr>
          <w:highlight w:val="none"/>
        </w:rPr>
        <w:t>稳定达到</w:t>
      </w:r>
      <w:r>
        <w:rPr>
          <w:rFonts w:hint="eastAsia"/>
          <w:highlight w:val="none"/>
        </w:rPr>
        <w:t>Ⅲ</w:t>
      </w:r>
      <w:r>
        <w:rPr>
          <w:highlight w:val="none"/>
        </w:rPr>
        <w:t>类标准。</w:t>
      </w:r>
    </w:p>
    <w:p>
      <w:pPr>
        <w:pStyle w:val="4"/>
        <w:spacing w:before="156"/>
        <w:rPr>
          <w:highlight w:val="none"/>
        </w:rPr>
      </w:pPr>
      <w:bookmarkStart w:id="195" w:name="_Toc72763690"/>
      <w:r>
        <w:rPr>
          <w:rFonts w:hint="eastAsia"/>
          <w:highlight w:val="none"/>
        </w:rPr>
        <w:t>全力</w:t>
      </w:r>
      <w:r>
        <w:rPr>
          <w:highlight w:val="none"/>
        </w:rPr>
        <w:t>开展</w:t>
      </w:r>
      <w:r>
        <w:rPr>
          <w:rFonts w:hint="eastAsia"/>
          <w:highlight w:val="none"/>
        </w:rPr>
        <w:t>行业</w:t>
      </w:r>
      <w:r>
        <w:rPr>
          <w:highlight w:val="none"/>
        </w:rPr>
        <w:t>水污染综合防治</w:t>
      </w:r>
      <w:bookmarkEnd w:id="195"/>
    </w:p>
    <w:p>
      <w:pPr>
        <w:ind w:firstLine="562"/>
        <w:rPr>
          <w:strike/>
          <w:highlight w:val="none"/>
        </w:rPr>
      </w:pPr>
      <w:r>
        <w:rPr>
          <w:b/>
          <w:bCs/>
          <w:highlight w:val="none"/>
        </w:rPr>
        <w:t>加强工业水污染治理。</w:t>
      </w:r>
      <w:r>
        <w:rPr>
          <w:highlight w:val="none"/>
        </w:rPr>
        <w:t>严格环境准入。实施负面清单管理制度，根据水质目标、主体功能区和生态保护红线区要求，制定行业准入负面清单，将高耗水、重污染的建设项目列入负面清单。实施产能规模和污染物排放总量控制，对造纸、原料药制造、有机化工、煤化工等重点行业，实行新（改、扩）建项目主要污染物排放等量或减量置换。开展行业水污染专项整治，全面排查装备水平低、环保设施差的小型工业企业。</w:t>
      </w:r>
    </w:p>
    <w:p>
      <w:pPr>
        <w:ind w:firstLine="562"/>
        <w:rPr>
          <w:highlight w:val="none"/>
        </w:rPr>
      </w:pPr>
      <w:r>
        <w:rPr>
          <w:b/>
          <w:bCs/>
          <w:highlight w:val="none"/>
          <w:lang w:bidi="en-US"/>
        </w:rPr>
        <w:t>提高企业水资源的循环使用效率。</w:t>
      </w:r>
      <w:r>
        <w:rPr>
          <w:highlight w:val="none"/>
          <w:lang w:bidi="en-US"/>
        </w:rPr>
        <w:t>加强企业清洁生产审核，提高水资源循环使用效率，降低新鲜水耗，减少污水排放量。</w:t>
      </w:r>
      <w:r>
        <w:rPr>
          <w:rFonts w:hint="eastAsia"/>
          <w:highlight w:val="none"/>
        </w:rPr>
        <w:t>严格落实</w:t>
      </w:r>
      <w:r>
        <w:rPr>
          <w:highlight w:val="none"/>
          <w:lang w:bidi="en-US"/>
        </w:rPr>
        <w:t>水价政策，利用经济和政策手段推动企业节水的主动性。推广节水器具，减少跑冒滴漏的水资源损失。</w:t>
      </w:r>
    </w:p>
    <w:p>
      <w:pPr>
        <w:ind w:firstLine="562"/>
        <w:rPr>
          <w:highlight w:val="none"/>
        </w:rPr>
      </w:pPr>
      <w:r>
        <w:rPr>
          <w:b/>
          <w:bCs/>
          <w:highlight w:val="none"/>
        </w:rPr>
        <w:t>积极防治畜禽养殖污染。</w:t>
      </w:r>
      <w:r>
        <w:rPr>
          <w:highlight w:val="none"/>
        </w:rPr>
        <w:t>巩固禁养区畜禽养殖关闭搬迁成果，日常巡查和不定期暗查相结合，</w:t>
      </w:r>
      <w:r>
        <w:rPr>
          <w:rFonts w:hint="eastAsia"/>
          <w:highlight w:val="none"/>
        </w:rPr>
        <w:t>开展</w:t>
      </w:r>
      <w:r>
        <w:rPr>
          <w:highlight w:val="none"/>
        </w:rPr>
        <w:t>复养情况检查，严防死灰复燃。严格落实《</w:t>
      </w:r>
      <w:r>
        <w:rPr>
          <w:rFonts w:hint="eastAsia"/>
          <w:highlight w:val="none"/>
        </w:rPr>
        <w:t>泰安市“十四五”农业农村现代化发展规划</w:t>
      </w:r>
      <w:r>
        <w:rPr>
          <w:highlight w:val="none"/>
        </w:rPr>
        <w:t>》，优化绿色养殖布局，加强规模化畜禽养殖场治理，厂区实施雨污分流，配套建设粪污水贮存及处理资源化利用设施，并正常运行。散养密集区要实行畜禽粪便污水就近收集、处理、还田利用。</w:t>
      </w:r>
    </w:p>
    <w:p>
      <w:pPr>
        <w:ind w:firstLine="562"/>
        <w:rPr>
          <w:highlight w:val="none"/>
        </w:rPr>
      </w:pPr>
      <w:r>
        <w:rPr>
          <w:b/>
          <w:bCs/>
          <w:highlight w:val="none"/>
        </w:rPr>
        <w:t>控制农业面源污染。</w:t>
      </w:r>
      <w:r>
        <w:rPr>
          <w:highlight w:val="none"/>
        </w:rPr>
        <w:t>加强农业面源污染防治，实施化肥农药减量增效行动，实行测土配方施肥，推广精准施肥技术和机具，新建高标准农田要达到相关环保要求。合理用肥用药用膜，全面推广低毒、低残留农药，开展农作物病虫害绿色防控和统防统治。</w:t>
      </w:r>
    </w:p>
    <w:p>
      <w:pPr>
        <w:pStyle w:val="4"/>
        <w:spacing w:before="156"/>
        <w:rPr>
          <w:highlight w:val="none"/>
        </w:rPr>
      </w:pPr>
      <w:bookmarkStart w:id="196" w:name="_Toc72763691"/>
      <w:r>
        <w:rPr>
          <w:rFonts w:hint="eastAsia"/>
          <w:highlight w:val="none"/>
        </w:rPr>
        <w:t>严格</w:t>
      </w:r>
      <w:r>
        <w:rPr>
          <w:highlight w:val="none"/>
        </w:rPr>
        <w:t>落实水功能区管理</w:t>
      </w:r>
      <w:r>
        <w:rPr>
          <w:rFonts w:hint="eastAsia"/>
          <w:highlight w:val="none"/>
        </w:rPr>
        <w:t>与</w:t>
      </w:r>
      <w:r>
        <w:rPr>
          <w:highlight w:val="none"/>
        </w:rPr>
        <w:t>监督</w:t>
      </w:r>
      <w:bookmarkEnd w:id="196"/>
    </w:p>
    <w:p>
      <w:pPr>
        <w:ind w:firstLine="562"/>
        <w:rPr>
          <w:highlight w:val="none"/>
        </w:rPr>
      </w:pPr>
      <w:r>
        <w:rPr>
          <w:b/>
          <w:bCs/>
          <w:highlight w:val="none"/>
        </w:rPr>
        <w:t>严格水功能区目标定位管理。</w:t>
      </w:r>
      <w:r>
        <w:rPr>
          <w:highlight w:val="none"/>
        </w:rPr>
        <w:t>以水生态环境功能分区为框架，以控制单元为空间载体，统筹流域、饮用水、</w:t>
      </w:r>
      <w:r>
        <w:rPr>
          <w:rFonts w:hint="eastAsia"/>
          <w:highlight w:val="none"/>
        </w:rPr>
        <w:t>城乡</w:t>
      </w:r>
      <w:r>
        <w:rPr>
          <w:highlight w:val="none"/>
        </w:rPr>
        <w:t>水体等水体污染防治，重点抓优先控制单元</w:t>
      </w:r>
      <w:r>
        <w:rPr>
          <w:rStyle w:val="37"/>
          <w:rFonts w:ascii="Calibri" w:hAnsi="Calibri" w:cs="宋体"/>
          <w:highlight w:val="none"/>
        </w:rPr>
        <w:commentReference w:id="2"/>
      </w:r>
      <w:r>
        <w:rPr>
          <w:highlight w:val="none"/>
        </w:rPr>
        <w:t>，并</w:t>
      </w:r>
      <w:r>
        <w:rPr>
          <w:rFonts w:hint="eastAsia"/>
          <w:highlight w:val="none"/>
          <w:lang w:eastAsia="zh-CN"/>
        </w:rPr>
        <w:t>逐步</w:t>
      </w:r>
      <w:r>
        <w:rPr>
          <w:highlight w:val="none"/>
        </w:rPr>
        <w:t>实施综合整治工程，保障流域水质目标。加强水环境质量目标考核，以城镇生活和农业源为重点，将环境质量状况作为重要参考指标，分解落实各地区总量减排目标任务。严格按照水污染防治目标责任书，进一步明确各类水体水质保护目标，理清政府和企业责任，落实</w:t>
      </w:r>
      <w:r>
        <w:rPr>
          <w:rFonts w:hint="eastAsia"/>
          <w:highlight w:val="none"/>
        </w:rPr>
        <w:t>“</w:t>
      </w:r>
      <w:r>
        <w:rPr>
          <w:highlight w:val="none"/>
        </w:rPr>
        <w:t>一岗双责</w:t>
      </w:r>
      <w:r>
        <w:rPr>
          <w:rFonts w:hint="eastAsia"/>
          <w:highlight w:val="none"/>
        </w:rPr>
        <w:t>”</w:t>
      </w:r>
      <w:r>
        <w:rPr>
          <w:highlight w:val="none"/>
        </w:rPr>
        <w:t>。</w:t>
      </w:r>
    </w:p>
    <w:p>
      <w:pPr>
        <w:pStyle w:val="3"/>
        <w:rPr>
          <w:b/>
          <w:bCs w:val="0"/>
          <w:highlight w:val="none"/>
        </w:rPr>
      </w:pPr>
      <w:bookmarkStart w:id="197" w:name="_Toc17886"/>
      <w:bookmarkStart w:id="198" w:name="_Toc30495"/>
      <w:bookmarkStart w:id="199" w:name="_Toc143041438"/>
      <w:bookmarkStart w:id="200" w:name="_Toc3734"/>
      <w:r>
        <w:rPr>
          <w:rFonts w:hint="eastAsia"/>
          <w:b/>
          <w:bCs w:val="0"/>
          <w:highlight w:val="none"/>
        </w:rPr>
        <w:t>持续改善空气环境质量</w:t>
      </w:r>
      <w:bookmarkEnd w:id="197"/>
      <w:bookmarkEnd w:id="198"/>
      <w:bookmarkEnd w:id="199"/>
      <w:bookmarkEnd w:id="200"/>
    </w:p>
    <w:p>
      <w:pPr>
        <w:pStyle w:val="4"/>
        <w:spacing w:before="156"/>
        <w:rPr>
          <w:highlight w:val="none"/>
        </w:rPr>
      </w:pPr>
      <w:r>
        <w:rPr>
          <w:rFonts w:hint="eastAsia"/>
          <w:highlight w:val="none"/>
        </w:rPr>
        <w:t>全面</w:t>
      </w:r>
      <w:r>
        <w:rPr>
          <w:highlight w:val="none"/>
        </w:rPr>
        <w:t>优化能源结构</w:t>
      </w:r>
    </w:p>
    <w:p>
      <w:pPr>
        <w:ind w:firstLine="562"/>
        <w:rPr>
          <w:highlight w:val="none"/>
          <w:lang w:val="zh-CN"/>
        </w:rPr>
      </w:pPr>
      <w:r>
        <w:rPr>
          <w:b/>
          <w:bCs/>
          <w:highlight w:val="none"/>
          <w:lang w:val="zh-CN"/>
        </w:rPr>
        <w:t>削减煤炭消费比重。</w:t>
      </w:r>
      <w:r>
        <w:rPr>
          <w:highlight w:val="none"/>
          <w:lang w:val="zh-CN"/>
        </w:rPr>
        <w:t>按照控增量、减存量、提效率的系统治理思路，加大煤炭消费减量替代工作力度，着力压缩煤炭存量消费。</w:t>
      </w:r>
      <w:r>
        <w:rPr>
          <w:highlight w:val="none"/>
        </w:rPr>
        <w:t>推进</w:t>
      </w:r>
      <w:r>
        <w:rPr>
          <w:highlight w:val="none"/>
          <w:lang w:val="zh-CN"/>
        </w:rPr>
        <w:t>燃煤锅炉和工业炉窑综合整治，加快推进平板玻璃、建筑陶瓷等行业工业炉窑清洁能源替代。到2025年，煤炭消费总量控制在</w:t>
      </w:r>
      <w:r>
        <w:rPr>
          <w:rFonts w:hint="eastAsia"/>
          <w:highlight w:val="none"/>
        </w:rPr>
        <w:t>上级</w:t>
      </w:r>
      <w:r>
        <w:rPr>
          <w:highlight w:val="none"/>
          <w:lang w:val="zh-CN"/>
        </w:rPr>
        <w:t>下达的控制目标以内。</w:t>
      </w:r>
    </w:p>
    <w:p>
      <w:pPr>
        <w:ind w:firstLine="562"/>
        <w:rPr>
          <w:highlight w:val="none"/>
          <w:lang w:val="zh-CN"/>
        </w:rPr>
      </w:pPr>
      <w:r>
        <w:rPr>
          <w:b/>
          <w:bCs/>
          <w:highlight w:val="none"/>
          <w:lang w:val="zh-CN"/>
        </w:rPr>
        <w:t>大力发展清洁能源。</w:t>
      </w:r>
      <w:r>
        <w:rPr>
          <w:highlight w:val="none"/>
          <w:lang w:val="zh-CN"/>
        </w:rPr>
        <w:t>实施清洁采暖，鼓励有条件的地区积极开展燃煤供热锅炉清洁能源替代。集中供暖未覆盖的地区，结合基础设施建设推行气代煤、电代煤等清洁采暖方式。因地制宜规模化发展</w:t>
      </w:r>
      <w:r>
        <w:rPr>
          <w:rFonts w:hint="eastAsia"/>
          <w:highlight w:val="none"/>
        </w:rPr>
        <w:t>清洁能源</w:t>
      </w:r>
      <w:r>
        <w:rPr>
          <w:highlight w:val="none"/>
          <w:lang w:val="zh-CN"/>
        </w:rPr>
        <w:t>，提高综合利用水平和效益。抓好天然气产供储体系建设。</w:t>
      </w:r>
    </w:p>
    <w:p>
      <w:pPr>
        <w:pStyle w:val="4"/>
        <w:spacing w:before="156"/>
        <w:rPr>
          <w:highlight w:val="none"/>
        </w:rPr>
      </w:pPr>
      <w:bookmarkStart w:id="201" w:name="_Toc72763683"/>
      <w:r>
        <w:rPr>
          <w:highlight w:val="none"/>
        </w:rPr>
        <w:t>推进工业源提标改造</w:t>
      </w:r>
      <w:bookmarkEnd w:id="201"/>
    </w:p>
    <w:p>
      <w:pPr>
        <w:ind w:firstLine="562"/>
        <w:rPr>
          <w:highlight w:val="none"/>
          <w:lang w:val="zh-CN"/>
        </w:rPr>
      </w:pPr>
      <w:r>
        <w:rPr>
          <w:b/>
          <w:bCs/>
          <w:highlight w:val="none"/>
          <w:lang w:val="zh-CN"/>
        </w:rPr>
        <w:t>实施工业污染源全面达标排放计划</w:t>
      </w:r>
      <w:r>
        <w:rPr>
          <w:b/>
          <w:bCs/>
          <w:highlight w:val="none"/>
        </w:rPr>
        <w:t>。</w:t>
      </w:r>
      <w:r>
        <w:rPr>
          <w:highlight w:val="none"/>
          <w:lang w:val="zh-CN"/>
        </w:rPr>
        <w:t>全面推进现有涉气工业企业达标排放，实行工业污染源清单制管理模式，开展各行业废气污染源排查，不能稳定达标</w:t>
      </w:r>
      <w:r>
        <w:rPr>
          <w:rFonts w:hint="eastAsia"/>
          <w:highlight w:val="none"/>
        </w:rPr>
        <w:t>的</w:t>
      </w:r>
      <w:r>
        <w:rPr>
          <w:highlight w:val="none"/>
          <w:lang w:val="zh-CN"/>
        </w:rPr>
        <w:t>实施升级改造，制定一厂一策，明确时间表和路线图，确保稳定达到排放标准。重点对建材、火电、铸造等重点行业开展专项执法检查，对不达标企业依法实施停产整治</w:t>
      </w:r>
      <w:r>
        <w:rPr>
          <w:rFonts w:hint="eastAsia"/>
          <w:highlight w:val="none"/>
          <w:lang w:val="zh-CN"/>
        </w:rPr>
        <w:t>、</w:t>
      </w:r>
      <w:r>
        <w:rPr>
          <w:highlight w:val="none"/>
          <w:lang w:val="zh-CN"/>
        </w:rPr>
        <w:t>关停取缔</w:t>
      </w:r>
      <w:r>
        <w:rPr>
          <w:rFonts w:hint="eastAsia"/>
          <w:highlight w:val="none"/>
        </w:rPr>
        <w:t>等强制措施</w:t>
      </w:r>
      <w:r>
        <w:rPr>
          <w:highlight w:val="none"/>
          <w:lang w:val="zh-CN"/>
        </w:rPr>
        <w:t>。对开发区、工业园区等进行集中整治，限期践行达标改造，开展排放改造。</w:t>
      </w:r>
    </w:p>
    <w:p>
      <w:pPr>
        <w:ind w:firstLine="562"/>
        <w:rPr>
          <w:highlight w:val="none"/>
          <w:lang w:val="zh-CN"/>
        </w:rPr>
      </w:pPr>
      <w:r>
        <w:rPr>
          <w:b/>
          <w:bCs/>
          <w:highlight w:val="none"/>
          <w:lang w:val="zh-CN"/>
        </w:rPr>
        <w:t>深入推进挥发性有机污染物专项治理。</w:t>
      </w:r>
      <w:r>
        <w:rPr>
          <w:highlight w:val="none"/>
          <w:lang w:val="zh-CN"/>
        </w:rPr>
        <w:t>实施挥发性有机物污染防治，建立VOCs排放清单信息库，按行业明确整治方案和要求。开展重点行业VOCs整治情况专项执法行动。加强环境质量和污染源排放VOCs自动监测工作。</w:t>
      </w:r>
    </w:p>
    <w:p>
      <w:pPr>
        <w:ind w:firstLine="562"/>
        <w:rPr>
          <w:strike/>
          <w:highlight w:val="none"/>
          <w:lang w:val="zh-CN"/>
        </w:rPr>
      </w:pPr>
      <w:r>
        <w:rPr>
          <w:b/>
          <w:bCs/>
          <w:highlight w:val="none"/>
          <w:lang w:val="zh-CN"/>
        </w:rPr>
        <w:t>加强工业炉窑专项整治。</w:t>
      </w:r>
      <w:r>
        <w:rPr>
          <w:highlight w:val="none"/>
          <w:lang w:val="zh-CN"/>
        </w:rPr>
        <w:t>全面落实《山东省工业炉窑大气污染综合治理实施方案》（鲁环发〔2020〕8 号），对全区所有窑炉进行核查，对照新标准新要求落实有组织达标排放、无组织综合整治、在线监控要求。鼓励工业炉窑使用电、天然气等能源或由周边热电厂供热。</w:t>
      </w:r>
    </w:p>
    <w:p>
      <w:pPr>
        <w:pStyle w:val="4"/>
        <w:spacing w:before="156"/>
        <w:rPr>
          <w:highlight w:val="none"/>
        </w:rPr>
      </w:pPr>
      <w:bookmarkStart w:id="202" w:name="_Toc72763684"/>
      <w:r>
        <w:rPr>
          <w:highlight w:val="none"/>
        </w:rPr>
        <w:t>强化移动源污染治理</w:t>
      </w:r>
      <w:bookmarkEnd w:id="202"/>
    </w:p>
    <w:p>
      <w:pPr>
        <w:ind w:firstLine="562"/>
        <w:rPr>
          <w:highlight w:val="none"/>
          <w:lang w:val="zh-CN"/>
        </w:rPr>
      </w:pPr>
      <w:r>
        <w:rPr>
          <w:b/>
          <w:bCs/>
          <w:highlight w:val="none"/>
          <w:lang w:val="zh-CN"/>
        </w:rPr>
        <w:t>加强机动车尾气污染防控能力建设。</w:t>
      </w:r>
      <w:r>
        <w:rPr>
          <w:highlight w:val="none"/>
          <w:lang w:val="zh-CN"/>
        </w:rPr>
        <w:t>实施机动车国六排放标准。完善机动车排气监管信息网络系统，实现生态环境、公安部门信息共享。在城市主要进口、覆盖高排放车辆通行的主要道口安装遥感检车设备</w:t>
      </w:r>
      <w:r>
        <w:rPr>
          <w:rFonts w:hint="eastAsia"/>
          <w:highlight w:val="none"/>
        </w:rPr>
        <w:t>开展</w:t>
      </w:r>
      <w:r>
        <w:rPr>
          <w:highlight w:val="none"/>
          <w:lang w:val="zh-CN"/>
        </w:rPr>
        <w:t>固定</w:t>
      </w:r>
      <w:r>
        <w:rPr>
          <w:rFonts w:hint="eastAsia"/>
          <w:highlight w:val="none"/>
        </w:rPr>
        <w:t>和</w:t>
      </w:r>
      <w:r>
        <w:rPr>
          <w:highlight w:val="none"/>
          <w:lang w:val="zh-CN"/>
        </w:rPr>
        <w:t>流动遥测</w:t>
      </w:r>
      <w:r>
        <w:rPr>
          <w:rFonts w:hint="eastAsia"/>
          <w:highlight w:val="none"/>
          <w:lang w:val="zh-CN"/>
        </w:rPr>
        <w:t>，</w:t>
      </w:r>
      <w:r>
        <w:rPr>
          <w:rFonts w:hint="eastAsia"/>
          <w:highlight w:val="none"/>
        </w:rPr>
        <w:t>加大违法排放处罚和</w:t>
      </w:r>
      <w:r>
        <w:rPr>
          <w:highlight w:val="none"/>
          <w:lang w:val="zh-CN"/>
        </w:rPr>
        <w:t>曝光</w:t>
      </w:r>
      <w:r>
        <w:rPr>
          <w:rFonts w:hint="eastAsia"/>
          <w:highlight w:val="none"/>
        </w:rPr>
        <w:t>力度</w:t>
      </w:r>
      <w:r>
        <w:rPr>
          <w:highlight w:val="none"/>
          <w:lang w:val="zh-CN"/>
        </w:rPr>
        <w:t>。修</w:t>
      </w:r>
      <w:r>
        <w:rPr>
          <w:rFonts w:hint="eastAsia"/>
          <w:highlight w:val="none"/>
          <w:lang w:val="zh-CN"/>
        </w:rPr>
        <w:t>建</w:t>
      </w:r>
      <w:r>
        <w:rPr>
          <w:highlight w:val="none"/>
          <w:lang w:val="zh-CN"/>
        </w:rPr>
        <w:t>隔离带、防护林，减少机动车污染。</w:t>
      </w:r>
    </w:p>
    <w:p>
      <w:pPr>
        <w:ind w:firstLine="562"/>
        <w:rPr>
          <w:highlight w:val="none"/>
          <w:lang w:val="zh-CN"/>
        </w:rPr>
      </w:pPr>
      <w:r>
        <w:rPr>
          <w:b/>
          <w:bCs/>
          <w:highlight w:val="none"/>
          <w:lang w:val="zh-CN"/>
        </w:rPr>
        <w:t>坚决提升油品质量。</w:t>
      </w:r>
      <w:r>
        <w:rPr>
          <w:highlight w:val="none"/>
          <w:lang w:val="zh-CN"/>
        </w:rPr>
        <w:t>组织对车用汽柴油质量监督抽查，对不合格油品</w:t>
      </w:r>
      <w:r>
        <w:rPr>
          <w:rFonts w:hint="eastAsia"/>
          <w:highlight w:val="none"/>
          <w:lang w:val="zh-CN"/>
        </w:rPr>
        <w:t>销售</w:t>
      </w:r>
      <w:r>
        <w:rPr>
          <w:highlight w:val="none"/>
          <w:lang w:val="zh-CN"/>
        </w:rPr>
        <w:t>企业依法进行处罚。强化销售、使用环节</w:t>
      </w:r>
      <w:r>
        <w:rPr>
          <w:highlight w:val="none"/>
        </w:rPr>
        <w:t>监管</w:t>
      </w:r>
      <w:r>
        <w:rPr>
          <w:highlight w:val="none"/>
          <w:lang w:val="zh-CN"/>
        </w:rPr>
        <w:t>，严厉打击销售、使用不合格油品和车用尿素行为。对制售不合格油气行为一律依法处罚</w:t>
      </w:r>
      <w:r>
        <w:rPr>
          <w:rFonts w:hint="eastAsia"/>
          <w:highlight w:val="none"/>
          <w:lang w:val="zh-CN"/>
        </w:rPr>
        <w:t>，</w:t>
      </w:r>
      <w:r>
        <w:rPr>
          <w:highlight w:val="none"/>
          <w:lang w:val="zh-CN"/>
        </w:rPr>
        <w:t>坚决依法取缔黑加油站点。</w:t>
      </w:r>
    </w:p>
    <w:p>
      <w:pPr>
        <w:pStyle w:val="4"/>
        <w:spacing w:before="156"/>
        <w:rPr>
          <w:highlight w:val="none"/>
        </w:rPr>
      </w:pPr>
      <w:bookmarkStart w:id="203" w:name="_Toc72763685"/>
      <w:r>
        <w:rPr>
          <w:rFonts w:hint="eastAsia"/>
          <w:highlight w:val="none"/>
        </w:rPr>
        <w:t>大力加强</w:t>
      </w:r>
      <w:r>
        <w:rPr>
          <w:highlight w:val="none"/>
        </w:rPr>
        <w:t>扬尘污染</w:t>
      </w:r>
      <w:bookmarkEnd w:id="203"/>
      <w:r>
        <w:rPr>
          <w:rFonts w:hint="eastAsia"/>
          <w:highlight w:val="none"/>
        </w:rPr>
        <w:t>防治</w:t>
      </w:r>
    </w:p>
    <w:p>
      <w:pPr>
        <w:ind w:firstLine="562"/>
        <w:rPr>
          <w:highlight w:val="none"/>
          <w:lang w:val="zh-CN"/>
        </w:rPr>
      </w:pPr>
      <w:r>
        <w:rPr>
          <w:b/>
          <w:bCs/>
          <w:highlight w:val="none"/>
          <w:lang w:val="zh-CN"/>
        </w:rPr>
        <w:t>推进道路扬尘污染治理。</w:t>
      </w:r>
      <w:r>
        <w:rPr>
          <w:highlight w:val="none"/>
          <w:lang w:val="zh-CN"/>
        </w:rPr>
        <w:t>大力推进道路清扫保洁机械化作业，提高城市道路机械化清扫和洒水比例</w:t>
      </w:r>
      <w:r>
        <w:rPr>
          <w:rFonts w:hint="eastAsia"/>
          <w:highlight w:val="none"/>
          <w:lang w:val="zh-CN"/>
        </w:rPr>
        <w:t>，</w:t>
      </w:r>
      <w:r>
        <w:rPr>
          <w:highlight w:val="none"/>
          <w:lang w:val="zh-CN"/>
        </w:rPr>
        <w:t>深入推进城市道路深度保洁工作。</w:t>
      </w:r>
      <w:r>
        <w:rPr>
          <w:b/>
          <w:bCs/>
          <w:highlight w:val="none"/>
          <w:lang w:val="zh-CN"/>
        </w:rPr>
        <w:t>加强物料运输扬尘污染整治。</w:t>
      </w:r>
      <w:r>
        <w:rPr>
          <w:highlight w:val="none"/>
          <w:lang w:val="zh-CN"/>
        </w:rPr>
        <w:t>运输渣土、土方、砂石、垃圾、灰浆、煤炭等散装、流体物料的车辆，严格落实全密闭化措施，规范通行时间和路线，依法依规</w:t>
      </w:r>
      <w:r>
        <w:rPr>
          <w:rFonts w:hint="eastAsia"/>
          <w:highlight w:val="none"/>
        </w:rPr>
        <w:t>处罚违规运输行为</w:t>
      </w:r>
      <w:r>
        <w:rPr>
          <w:highlight w:val="none"/>
          <w:lang w:val="zh-CN"/>
        </w:rPr>
        <w:t>。</w:t>
      </w:r>
    </w:p>
    <w:p>
      <w:pPr>
        <w:ind w:firstLine="562"/>
        <w:rPr>
          <w:highlight w:val="none"/>
          <w:lang w:val="zh-CN"/>
        </w:rPr>
      </w:pPr>
      <w:r>
        <w:rPr>
          <w:b/>
          <w:bCs/>
          <w:highlight w:val="none"/>
          <w:lang w:val="zh-CN"/>
        </w:rPr>
        <w:t>扎实开展各类露天堆场扬尘污染整治。</w:t>
      </w:r>
      <w:r>
        <w:rPr>
          <w:highlight w:val="none"/>
          <w:lang w:val="zh-CN"/>
        </w:rPr>
        <w:t>工业企业堆场料场，应按照</w:t>
      </w:r>
      <w:r>
        <w:rPr>
          <w:rFonts w:hint="eastAsia"/>
          <w:highlight w:val="none"/>
          <w:lang w:val="zh-CN"/>
        </w:rPr>
        <w:t>“</w:t>
      </w:r>
      <w:r>
        <w:rPr>
          <w:highlight w:val="none"/>
          <w:lang w:val="zh-CN"/>
        </w:rPr>
        <w:t>空中防扬散、地面防流失、底下防渗漏</w:t>
      </w:r>
      <w:r>
        <w:rPr>
          <w:rFonts w:hint="eastAsia"/>
          <w:highlight w:val="none"/>
          <w:lang w:val="zh-CN"/>
        </w:rPr>
        <w:t>”</w:t>
      </w:r>
      <w:r>
        <w:rPr>
          <w:highlight w:val="none"/>
          <w:lang w:val="zh-CN"/>
        </w:rPr>
        <w:t>的标准控制扬尘污染，安装在线监测设施，厂区路面硬化，采用防风抑尘网或者封闭料场（仓、棚、库），并采取喷淋等抑尘措施。重污染天气应急期间，按要求严格落实各项应急减排措施。</w:t>
      </w:r>
    </w:p>
    <w:p>
      <w:pPr>
        <w:pStyle w:val="4"/>
        <w:spacing w:before="156"/>
        <w:rPr>
          <w:highlight w:val="none"/>
        </w:rPr>
      </w:pPr>
      <w:r>
        <w:rPr>
          <w:highlight w:val="none"/>
        </w:rPr>
        <w:t>加</w:t>
      </w:r>
      <w:r>
        <w:rPr>
          <w:rFonts w:hint="eastAsia"/>
          <w:highlight w:val="none"/>
        </w:rPr>
        <w:t>大</w:t>
      </w:r>
      <w:r>
        <w:rPr>
          <w:highlight w:val="none"/>
        </w:rPr>
        <w:t>大气污染监管执法</w:t>
      </w:r>
    </w:p>
    <w:p>
      <w:pPr>
        <w:ind w:firstLine="562"/>
        <w:rPr>
          <w:highlight w:val="none"/>
          <w:lang w:val="zh-CN" w:bidi="en-US"/>
        </w:rPr>
      </w:pPr>
      <w:r>
        <w:rPr>
          <w:b/>
          <w:bCs/>
          <w:highlight w:val="none"/>
          <w:lang w:val="zh-CN" w:bidi="en-US"/>
        </w:rPr>
        <w:t>完善网格化监管体系。</w:t>
      </w:r>
      <w:r>
        <w:rPr>
          <w:highlight w:val="none"/>
          <w:lang w:val="zh-CN" w:bidi="en-US"/>
        </w:rPr>
        <w:t>完善</w:t>
      </w:r>
      <w:r>
        <w:rPr>
          <w:rFonts w:hint="eastAsia"/>
          <w:highlight w:val="none"/>
          <w:lang w:val="zh-CN" w:bidi="en-US"/>
        </w:rPr>
        <w:t>“</w:t>
      </w:r>
      <w:r>
        <w:rPr>
          <w:highlight w:val="none"/>
          <w:lang w:val="zh-CN" w:bidi="en-US"/>
        </w:rPr>
        <w:t>纵到底、横到边、全覆盖、无死角</w:t>
      </w:r>
      <w:r>
        <w:rPr>
          <w:rFonts w:hint="eastAsia"/>
          <w:highlight w:val="none"/>
          <w:lang w:val="zh-CN" w:bidi="en-US"/>
        </w:rPr>
        <w:t>”</w:t>
      </w:r>
      <w:r>
        <w:rPr>
          <w:highlight w:val="none"/>
          <w:lang w:val="zh-CN" w:bidi="en-US"/>
        </w:rPr>
        <w:t>的网格化环境监管格局，将监管责任落实到单位、到岗位，将环境问题解决在一线。不断提升网格化环境监管成效。</w:t>
      </w:r>
    </w:p>
    <w:p>
      <w:pPr>
        <w:ind w:firstLine="562"/>
        <w:rPr>
          <w:highlight w:val="none"/>
          <w:lang w:bidi="en-US"/>
        </w:rPr>
      </w:pPr>
      <w:r>
        <w:rPr>
          <w:b/>
          <w:bCs/>
          <w:highlight w:val="none"/>
          <w:lang w:val="zh-CN" w:bidi="en-US"/>
        </w:rPr>
        <w:t>加强污染源执法监管。</w:t>
      </w:r>
      <w:r>
        <w:rPr>
          <w:highlight w:val="none"/>
          <w:lang w:val="zh-CN" w:bidi="en-US"/>
        </w:rPr>
        <w:t>加强环境执法能力建设。持续推广</w:t>
      </w:r>
      <w:r>
        <w:rPr>
          <w:rFonts w:hint="eastAsia"/>
          <w:highlight w:val="none"/>
          <w:lang w:val="zh-CN" w:bidi="en-US"/>
        </w:rPr>
        <w:t>“</w:t>
      </w:r>
      <w:r>
        <w:rPr>
          <w:highlight w:val="none"/>
          <w:lang w:val="zh-CN" w:bidi="en-US"/>
        </w:rPr>
        <w:t>双随机一公开</w:t>
      </w:r>
      <w:r>
        <w:rPr>
          <w:rFonts w:hint="eastAsia"/>
          <w:highlight w:val="none"/>
          <w:lang w:val="zh-CN" w:bidi="en-US"/>
        </w:rPr>
        <w:t>”</w:t>
      </w:r>
      <w:r>
        <w:rPr>
          <w:highlight w:val="none"/>
          <w:lang w:val="zh-CN" w:bidi="en-US"/>
        </w:rPr>
        <w:t>等环境监管方式。落实国家、省、市大气污染热点网格监管要求，加强工业炉窑、工业无组织排放、VOCs污染治理等环境执法。完善生态环境执法与刑事司法的衔接机制，形成高效联动、严惩重处的执法协同体系。</w:t>
      </w:r>
    </w:p>
    <w:p>
      <w:pPr>
        <w:pStyle w:val="3"/>
        <w:rPr>
          <w:b/>
          <w:bCs w:val="0"/>
          <w:highlight w:val="none"/>
        </w:rPr>
      </w:pPr>
      <w:bookmarkStart w:id="204" w:name="_Toc29932"/>
      <w:bookmarkStart w:id="205" w:name="_Toc24498"/>
      <w:bookmarkStart w:id="206" w:name="_Toc27672"/>
      <w:bookmarkStart w:id="207" w:name="_Toc143041439"/>
      <w:r>
        <w:rPr>
          <w:rFonts w:hint="eastAsia"/>
          <w:b/>
          <w:bCs w:val="0"/>
          <w:highlight w:val="none"/>
        </w:rPr>
        <w:t>强化土壤固废安全保障</w:t>
      </w:r>
      <w:bookmarkEnd w:id="204"/>
      <w:bookmarkEnd w:id="205"/>
      <w:bookmarkEnd w:id="206"/>
      <w:bookmarkEnd w:id="207"/>
    </w:p>
    <w:p>
      <w:pPr>
        <w:pStyle w:val="4"/>
        <w:spacing w:before="156"/>
        <w:rPr>
          <w:highlight w:val="none"/>
        </w:rPr>
      </w:pPr>
      <w:bookmarkStart w:id="208" w:name="_Toc72763694"/>
      <w:r>
        <w:rPr>
          <w:rFonts w:hint="eastAsia"/>
          <w:highlight w:val="none"/>
        </w:rPr>
        <w:t>严格控制</w:t>
      </w:r>
      <w:r>
        <w:rPr>
          <w:highlight w:val="none"/>
        </w:rPr>
        <w:t>农用地</w:t>
      </w:r>
      <w:r>
        <w:rPr>
          <w:rFonts w:hint="eastAsia"/>
          <w:highlight w:val="none"/>
        </w:rPr>
        <w:t>土壤</w:t>
      </w:r>
      <w:r>
        <w:rPr>
          <w:highlight w:val="none"/>
        </w:rPr>
        <w:t>污染</w:t>
      </w:r>
      <w:bookmarkEnd w:id="208"/>
    </w:p>
    <w:p>
      <w:pPr>
        <w:ind w:firstLine="562"/>
        <w:rPr>
          <w:highlight w:val="none"/>
        </w:rPr>
      </w:pPr>
      <w:r>
        <w:rPr>
          <w:b/>
          <w:bCs/>
          <w:highlight w:val="none"/>
        </w:rPr>
        <w:t>划定农用地土壤环境质量类别。</w:t>
      </w:r>
      <w:r>
        <w:rPr>
          <w:highlight w:val="none"/>
        </w:rPr>
        <w:t>以耕地土壤环境质量类别为基础，逐步开展林地、草地、园地等其他农用地土壤环境质量类别划定工作，制定采取相应管理措施。</w:t>
      </w:r>
      <w:r>
        <w:rPr>
          <w:b/>
          <w:bCs/>
          <w:highlight w:val="none"/>
        </w:rPr>
        <w:t>加大农用地保护力度。</w:t>
      </w:r>
      <w:r>
        <w:rPr>
          <w:highlight w:val="none"/>
        </w:rPr>
        <w:t>切实加大耕地的优先保护及安全利用，将符合条件的优先保护类耕地划为永久基本农田，实行严格保护，确保其面积不减少、土壤环境质量不下降，除法律规定的重点建设项目选址确实无法避让外，其他任何建设不得占用。</w:t>
      </w:r>
      <w:r>
        <w:rPr>
          <w:b/>
          <w:bCs/>
          <w:highlight w:val="none"/>
        </w:rPr>
        <w:t>科学使用化肥农药。</w:t>
      </w:r>
      <w:r>
        <w:rPr>
          <w:highlight w:val="none"/>
        </w:rPr>
        <w:t>严格控制农药使用量，鼓励增施有机肥</w:t>
      </w:r>
      <w:r>
        <w:rPr>
          <w:rFonts w:hint="eastAsia"/>
          <w:highlight w:val="none"/>
        </w:rPr>
        <w:t>，</w:t>
      </w:r>
      <w:r>
        <w:rPr>
          <w:highlight w:val="none"/>
        </w:rPr>
        <w:t>保障农产品质量安全。</w:t>
      </w:r>
    </w:p>
    <w:p>
      <w:pPr>
        <w:pStyle w:val="4"/>
        <w:spacing w:before="156"/>
        <w:rPr>
          <w:highlight w:val="none"/>
        </w:rPr>
      </w:pPr>
      <w:bookmarkStart w:id="209" w:name="_Toc72763695"/>
      <w:r>
        <w:rPr>
          <w:highlight w:val="none"/>
        </w:rPr>
        <w:t>加强工业用地污染防治</w:t>
      </w:r>
      <w:bookmarkEnd w:id="209"/>
    </w:p>
    <w:p>
      <w:pPr>
        <w:ind w:firstLine="562"/>
        <w:rPr>
          <w:highlight w:val="none"/>
        </w:rPr>
      </w:pPr>
      <w:r>
        <w:rPr>
          <w:b/>
          <w:bCs/>
          <w:highlight w:val="none"/>
        </w:rPr>
        <w:t>加强工业废物处理处置。</w:t>
      </w:r>
      <w:r>
        <w:rPr>
          <w:highlight w:val="none"/>
        </w:rPr>
        <w:t>全面整治固体废物堆存场所，完善防扬散、防流失、防渗漏等设施。加强工业固体废物综合利用。</w:t>
      </w:r>
      <w:r>
        <w:rPr>
          <w:b/>
          <w:bCs/>
          <w:highlight w:val="none"/>
        </w:rPr>
        <w:t>完善垃圾处理设施防渗措施。</w:t>
      </w:r>
      <w:r>
        <w:rPr>
          <w:highlight w:val="none"/>
        </w:rPr>
        <w:t>定期对垃圾</w:t>
      </w:r>
      <w:r>
        <w:rPr>
          <w:rFonts w:hint="eastAsia"/>
          <w:highlight w:val="none"/>
        </w:rPr>
        <w:t>收集转运</w:t>
      </w:r>
      <w:r>
        <w:rPr>
          <w:highlight w:val="none"/>
        </w:rPr>
        <w:t>场所开展</w:t>
      </w:r>
      <w:r>
        <w:rPr>
          <w:rFonts w:hint="eastAsia"/>
          <w:highlight w:val="none"/>
        </w:rPr>
        <w:t>检查。</w:t>
      </w:r>
      <w:r>
        <w:rPr>
          <w:highlight w:val="none"/>
        </w:rPr>
        <w:t>开展利用建筑垃圾生产建材产品等资源化利用示范。</w:t>
      </w:r>
    </w:p>
    <w:p>
      <w:pPr>
        <w:pStyle w:val="4"/>
        <w:spacing w:before="156"/>
        <w:rPr>
          <w:highlight w:val="none"/>
        </w:rPr>
      </w:pPr>
      <w:bookmarkStart w:id="210" w:name="_Toc72763696"/>
      <w:r>
        <w:rPr>
          <w:rFonts w:hint="eastAsia"/>
          <w:highlight w:val="none"/>
        </w:rPr>
        <w:t>严格准入</w:t>
      </w:r>
      <w:r>
        <w:rPr>
          <w:highlight w:val="none"/>
        </w:rPr>
        <w:t>控</w:t>
      </w:r>
      <w:r>
        <w:rPr>
          <w:rFonts w:hint="eastAsia"/>
          <w:highlight w:val="none"/>
        </w:rPr>
        <w:t>制</w:t>
      </w:r>
      <w:r>
        <w:rPr>
          <w:highlight w:val="none"/>
        </w:rPr>
        <w:t>新增土壤污染</w:t>
      </w:r>
      <w:bookmarkEnd w:id="210"/>
    </w:p>
    <w:p>
      <w:pPr>
        <w:ind w:firstLine="562"/>
        <w:rPr>
          <w:highlight w:val="none"/>
        </w:rPr>
      </w:pPr>
      <w:r>
        <w:rPr>
          <w:rFonts w:hint="eastAsia"/>
          <w:b/>
          <w:bCs/>
          <w:highlight w:val="none"/>
        </w:rPr>
        <w:t>严格建设用地准入管理。</w:t>
      </w:r>
      <w:r>
        <w:rPr>
          <w:rFonts w:hint="eastAsia"/>
          <w:highlight w:val="none"/>
        </w:rPr>
        <w:t>土地开发利用必须符合土壤环境质量要求。持续开展建设用地准入管理和风险管控排查，疑似污染地块和污染地块及时录入“全国污染地块土壤环境管理系统”监管。</w:t>
      </w:r>
      <w:r>
        <w:rPr>
          <w:b/>
          <w:bCs/>
          <w:highlight w:val="none"/>
        </w:rPr>
        <w:t>加强未利用地环境管理。</w:t>
      </w:r>
      <w:r>
        <w:rPr>
          <w:highlight w:val="none"/>
        </w:rPr>
        <w:t>按照科学有序原则开发利用未利用地，依法严查向湿地非法排污、倾倒有毒有害物质的环境违法犯罪行为。</w:t>
      </w:r>
    </w:p>
    <w:p>
      <w:pPr>
        <w:pStyle w:val="4"/>
        <w:spacing w:before="156"/>
        <w:rPr>
          <w:highlight w:val="none"/>
        </w:rPr>
      </w:pPr>
      <w:bookmarkStart w:id="211" w:name="_Toc72763697"/>
      <w:r>
        <w:rPr>
          <w:highlight w:val="none"/>
        </w:rPr>
        <w:t>推进污染场地</w:t>
      </w:r>
      <w:r>
        <w:rPr>
          <w:rFonts w:hint="eastAsia"/>
          <w:highlight w:val="none"/>
        </w:rPr>
        <w:t>监管与</w:t>
      </w:r>
      <w:r>
        <w:rPr>
          <w:highlight w:val="none"/>
        </w:rPr>
        <w:t>修复</w:t>
      </w:r>
      <w:bookmarkEnd w:id="211"/>
    </w:p>
    <w:p>
      <w:pPr>
        <w:ind w:firstLine="562"/>
        <w:rPr>
          <w:highlight w:val="none"/>
        </w:rPr>
      </w:pPr>
      <w:r>
        <w:rPr>
          <w:b/>
          <w:bCs/>
          <w:highlight w:val="none"/>
        </w:rPr>
        <w:t>制定土壤污染治理与修复方案。</w:t>
      </w:r>
      <w:r>
        <w:rPr>
          <w:highlight w:val="none"/>
        </w:rPr>
        <w:t>以影响农产品质量和人居环境安全的突出土壤污染问题为重点，分年度实施计划并建立项目库。</w:t>
      </w:r>
      <w:r>
        <w:rPr>
          <w:b/>
          <w:bCs/>
          <w:highlight w:val="none"/>
        </w:rPr>
        <w:t>开展重点区域土壤污染治理与修复试点。</w:t>
      </w:r>
      <w:r>
        <w:rPr>
          <w:rFonts w:hint="eastAsia"/>
          <w:highlight w:val="none"/>
        </w:rPr>
        <w:t>以拟开发建设居住、商业、学校、医疗和养老机构等项目的污染地块为重点开展治理与修复</w:t>
      </w:r>
      <w:r>
        <w:rPr>
          <w:highlight w:val="none"/>
        </w:rPr>
        <w:t>，探索治理与修复技术模式。</w:t>
      </w:r>
      <w:r>
        <w:rPr>
          <w:rFonts w:hint="eastAsia"/>
          <w:b/>
          <w:bCs/>
          <w:highlight w:val="none"/>
        </w:rPr>
        <w:t>建</w:t>
      </w:r>
      <w:r>
        <w:rPr>
          <w:b/>
          <w:bCs/>
          <w:highlight w:val="none"/>
        </w:rPr>
        <w:t>立治理与修复全过程监管模式。</w:t>
      </w:r>
      <w:r>
        <w:rPr>
          <w:highlight w:val="none"/>
        </w:rPr>
        <w:t>监督从业单位严格落实土壤环境调查、风险评估、风险管控、治理修复、成效评估等相关技术规范，避免不当修复、过度修复、盲目修复等问题发生。</w:t>
      </w:r>
    </w:p>
    <w:p>
      <w:pPr>
        <w:pStyle w:val="4"/>
        <w:spacing w:before="156"/>
        <w:rPr>
          <w:highlight w:val="none"/>
        </w:rPr>
      </w:pPr>
      <w:r>
        <w:rPr>
          <w:highlight w:val="none"/>
        </w:rPr>
        <w:t>加强危废监管与安全处置</w:t>
      </w:r>
    </w:p>
    <w:p>
      <w:pPr>
        <w:ind w:firstLine="562"/>
        <w:rPr>
          <w:highlight w:val="none"/>
        </w:rPr>
      </w:pPr>
      <w:r>
        <w:rPr>
          <w:rFonts w:hint="eastAsia"/>
          <w:b/>
          <w:bCs/>
          <w:highlight w:val="none"/>
        </w:rPr>
        <w:t>持续强化危废、医疗废物管理</w:t>
      </w:r>
      <w:r>
        <w:rPr>
          <w:b/>
          <w:bCs/>
          <w:highlight w:val="none"/>
        </w:rPr>
        <w:t>。</w:t>
      </w:r>
      <w:r>
        <w:rPr>
          <w:highlight w:val="none"/>
        </w:rPr>
        <w:t>引导企业使用低毒低害和无毒无害原料，促进企业从源头削减或避免危险废物产生。严格控制产生危险废物的项目建设。</w:t>
      </w:r>
      <w:r>
        <w:rPr>
          <w:szCs w:val="30"/>
          <w:highlight w:val="none"/>
        </w:rPr>
        <w:t>常态化做好医疗废物集中处置监管。</w:t>
      </w:r>
      <w:r>
        <w:rPr>
          <w:highlight w:val="none"/>
        </w:rPr>
        <w:t>严格落实医疗废物管理的规章制度、工作流程，加强对医疗机构医疗废物收集、运送和暂时贮存过程中的防护管理。</w:t>
      </w:r>
      <w:r>
        <w:rPr>
          <w:b/>
          <w:bCs/>
          <w:highlight w:val="none"/>
        </w:rPr>
        <w:t>强化落实危险废物全过程监管。</w:t>
      </w:r>
      <w:r>
        <w:rPr>
          <w:highlight w:val="none"/>
        </w:rPr>
        <w:t>动态更新危险废物重点监管企业名单，强化危险废物从产生、贮存、转移到处置利用的全过程监管，严厉打击危险废物非法转移、利用、处置等违法犯罪活动。</w:t>
      </w:r>
    </w:p>
    <w:p>
      <w:pPr>
        <w:pStyle w:val="3"/>
        <w:rPr>
          <w:b/>
          <w:bCs w:val="0"/>
          <w:highlight w:val="none"/>
        </w:rPr>
      </w:pPr>
      <w:bookmarkStart w:id="212" w:name="_Toc143041440"/>
      <w:bookmarkStart w:id="213" w:name="_Toc1042"/>
      <w:bookmarkStart w:id="214" w:name="_Toc14758"/>
      <w:bookmarkStart w:id="215" w:name="_Toc16064"/>
      <w:r>
        <w:rPr>
          <w:rFonts w:hint="eastAsia"/>
          <w:b/>
          <w:bCs w:val="0"/>
          <w:highlight w:val="none"/>
        </w:rPr>
        <w:t>加强区域噪声污染防治</w:t>
      </w:r>
      <w:bookmarkEnd w:id="212"/>
      <w:bookmarkEnd w:id="213"/>
      <w:bookmarkEnd w:id="214"/>
      <w:bookmarkEnd w:id="215"/>
    </w:p>
    <w:p>
      <w:pPr>
        <w:ind w:firstLine="562"/>
        <w:rPr>
          <w:highlight w:val="none"/>
        </w:rPr>
      </w:pPr>
      <w:r>
        <w:rPr>
          <w:b/>
          <w:bCs/>
          <w:highlight w:val="none"/>
        </w:rPr>
        <w:t>加强城区声环境质量分区管理</w:t>
      </w:r>
      <w:r>
        <w:rPr>
          <w:rFonts w:hint="eastAsia"/>
          <w:b/>
          <w:bCs/>
          <w:highlight w:val="none"/>
        </w:rPr>
        <w:t>。</w:t>
      </w:r>
      <w:r>
        <w:rPr>
          <w:highlight w:val="none"/>
        </w:rPr>
        <w:t>确定不同功能区</w:t>
      </w:r>
      <w:r>
        <w:rPr>
          <w:rFonts w:hint="eastAsia"/>
          <w:highlight w:val="none"/>
        </w:rPr>
        <w:t>的</w:t>
      </w:r>
      <w:r>
        <w:rPr>
          <w:highlight w:val="none"/>
        </w:rPr>
        <w:t>噪声</w:t>
      </w:r>
      <w:r>
        <w:rPr>
          <w:rFonts w:hint="eastAsia"/>
          <w:highlight w:val="none"/>
          <w:lang w:eastAsia="zh-CN"/>
        </w:rPr>
        <w:t>污染防治</w:t>
      </w:r>
      <w:r>
        <w:rPr>
          <w:highlight w:val="none"/>
        </w:rPr>
        <w:t>管理措施及方案。加强餐饮服务业等行业噪声监管，加强夜间噪声管理，避免商业集贸活动噪声对居民休息产生不良影响。</w:t>
      </w:r>
      <w:r>
        <w:rPr>
          <w:b/>
          <w:bCs/>
          <w:highlight w:val="none"/>
        </w:rPr>
        <w:t>控制工业生产噪音。</w:t>
      </w:r>
      <w:r>
        <w:rPr>
          <w:highlight w:val="none"/>
        </w:rPr>
        <w:t>对工业噪声采用隔声、消声、吸声等措施；鼓励园区选用低噪声的先进设备和生产工艺，以减少工业生产噪声对工人和周围居民的干扰，加强厂区绿化建设。</w:t>
      </w:r>
      <w:r>
        <w:rPr>
          <w:b/>
          <w:bCs/>
          <w:highlight w:val="none"/>
        </w:rPr>
        <w:t>加强交通运输噪声管理。</w:t>
      </w:r>
      <w:r>
        <w:rPr>
          <w:highlight w:val="none"/>
        </w:rPr>
        <w:t>加强机动车辆噪声监督管理，严格执行城区机动车禁鸣喇叭的规定，保护交通干线两侧的居住区、教育区等敏感区域。</w:t>
      </w:r>
    </w:p>
    <w:p>
      <w:pPr>
        <w:pStyle w:val="3"/>
        <w:rPr>
          <w:b/>
          <w:bCs w:val="0"/>
          <w:highlight w:val="none"/>
        </w:rPr>
      </w:pPr>
      <w:bookmarkStart w:id="216" w:name="_Toc302"/>
      <w:bookmarkStart w:id="217" w:name="_Toc31304"/>
      <w:bookmarkStart w:id="218" w:name="_Toc19340"/>
      <w:bookmarkStart w:id="219" w:name="_Toc143041441"/>
      <w:r>
        <w:rPr>
          <w:rFonts w:hint="eastAsia"/>
          <w:b/>
          <w:bCs w:val="0"/>
          <w:highlight w:val="none"/>
        </w:rPr>
        <w:t>推进</w:t>
      </w:r>
      <w:r>
        <w:rPr>
          <w:b/>
          <w:bCs w:val="0"/>
          <w:highlight w:val="none"/>
        </w:rPr>
        <w:t>生态系统保护修复</w:t>
      </w:r>
      <w:bookmarkEnd w:id="216"/>
      <w:bookmarkEnd w:id="217"/>
      <w:bookmarkEnd w:id="218"/>
      <w:bookmarkEnd w:id="219"/>
    </w:p>
    <w:p>
      <w:pPr>
        <w:ind w:firstLine="560"/>
        <w:rPr>
          <w:highlight w:val="none"/>
          <w:lang w:val="en"/>
        </w:rPr>
      </w:pPr>
      <w:r>
        <w:rPr>
          <w:highlight w:val="none"/>
          <w:lang w:val="en"/>
        </w:rPr>
        <w:t>增强以泰山为龙头、大汶河为纽带为重点的生态保护修复工程建设，</w:t>
      </w:r>
      <w:r>
        <w:rPr>
          <w:rFonts w:hint="eastAsia"/>
          <w:highlight w:val="none"/>
          <w:lang w:val="en"/>
        </w:rPr>
        <w:t>优化国土空间布局，创新生态治理模式，提升环境治理</w:t>
      </w:r>
      <w:r>
        <w:rPr>
          <w:rFonts w:hint="eastAsia"/>
          <w:highlight w:val="none"/>
        </w:rPr>
        <w:t>水平</w:t>
      </w:r>
      <w:r>
        <w:rPr>
          <w:rFonts w:hint="eastAsia"/>
          <w:highlight w:val="none"/>
          <w:lang w:val="en"/>
        </w:rPr>
        <w:t>，集约节约利用水资源，全面改善生态质量，推动流域绿色发展，走出生态文明建设新路子。</w:t>
      </w:r>
    </w:p>
    <w:p>
      <w:pPr>
        <w:pStyle w:val="4"/>
        <w:spacing w:before="156"/>
        <w:rPr>
          <w:highlight w:val="none"/>
          <w:lang w:val="en"/>
        </w:rPr>
      </w:pPr>
      <w:r>
        <w:rPr>
          <w:rFonts w:hint="eastAsia"/>
          <w:highlight w:val="none"/>
          <w:lang w:val="en"/>
        </w:rPr>
        <w:t>实施重点生态保护修复工程</w:t>
      </w:r>
    </w:p>
    <w:p>
      <w:pPr>
        <w:ind w:firstLine="560"/>
        <w:rPr>
          <w:highlight w:val="none"/>
          <w:lang w:val="en"/>
        </w:rPr>
      </w:pPr>
      <w:r>
        <w:rPr>
          <w:rFonts w:hint="eastAsia"/>
          <w:highlight w:val="none"/>
          <w:lang w:val="en"/>
        </w:rPr>
        <w:t>实施泰山区域生态保护与修复工程。在泰山及其主要支脉和余脉的山丘区，加大水土保护与水源涵养力度，通过封山育林、人工造林等方式合理配置植物群落，建立生态功能完善、季相变化丰富、具有观赏价值和泰山特色的生态体系，保护山地森林生态系统和珍稀濒危动植物资源。做好松材线虫、美国白蛾等林业有害生物防控。推进泰山山体科学生态修复。加大泰山石保护力度，严厉打击私采滥挖行为。</w:t>
      </w:r>
    </w:p>
    <w:p>
      <w:pPr>
        <w:ind w:firstLine="560"/>
        <w:rPr>
          <w:highlight w:val="none"/>
          <w:lang w:val="en"/>
        </w:rPr>
      </w:pPr>
      <w:r>
        <w:rPr>
          <w:rFonts w:hint="eastAsia"/>
          <w:highlight w:val="none"/>
          <w:lang w:val="en"/>
        </w:rPr>
        <w:t>实施大汶河流域生态保护与修复工程。在大汶河及其主要支流上，完善“治用保”相结合的治污体系，实施生态补水，维持基本生态用水需求，实行人工湿地水质净化，推进大汶河、瀛汶河等水体生态修复，恢复沿线生态系统，打造大汶河绿色发展生态长廊。构建大汶河主生态廊道，建设</w:t>
      </w:r>
      <w:r>
        <w:rPr>
          <w:rFonts w:hint="eastAsia"/>
          <w:highlight w:val="none"/>
        </w:rPr>
        <w:t>生物多样性</w:t>
      </w:r>
      <w:r>
        <w:rPr>
          <w:rFonts w:hint="eastAsia"/>
          <w:highlight w:val="none"/>
          <w:lang w:val="en"/>
        </w:rPr>
        <w:t>连通廊道、清水廊道。开展大汶河流域生态涵养林修复和水土保持小流域综合治理，控制水土流失。</w:t>
      </w:r>
    </w:p>
    <w:p>
      <w:pPr>
        <w:ind w:firstLine="560"/>
        <w:rPr>
          <w:highlight w:val="none"/>
          <w:lang w:val="en"/>
        </w:rPr>
      </w:pPr>
      <w:r>
        <w:rPr>
          <w:rFonts w:hint="eastAsia"/>
          <w:highlight w:val="none"/>
          <w:lang w:val="en"/>
        </w:rPr>
        <w:t>加强河湖源头集水区和水源涵养重要区的水源涵养功能维护，强化对重要水源涵养区监督管理，建立水源涵养监测预警机制。实施大汶河水源涵养工程，维护泰山水源涵养能力。有序推进封山育林、退耕还林还湿、低质低效林改造、湿地生态修复、废弃矿山植被恢复等生态修复工程，涵水于地、于林，全面提升生态系统涵水功能。</w:t>
      </w:r>
    </w:p>
    <w:p>
      <w:pPr>
        <w:pStyle w:val="4"/>
        <w:spacing w:before="156"/>
        <w:rPr>
          <w:highlight w:val="none"/>
        </w:rPr>
      </w:pPr>
      <w:r>
        <w:rPr>
          <w:rFonts w:hint="eastAsia"/>
          <w:highlight w:val="none"/>
        </w:rPr>
        <w:t>加强林草资源管护防灾修复</w:t>
      </w:r>
    </w:p>
    <w:p>
      <w:pPr>
        <w:ind w:firstLine="562"/>
        <w:rPr>
          <w:highlight w:val="none"/>
          <w:lang w:val="en"/>
        </w:rPr>
      </w:pPr>
      <w:r>
        <w:rPr>
          <w:rFonts w:hint="eastAsia"/>
          <w:b/>
          <w:bCs/>
          <w:highlight w:val="none"/>
        </w:rPr>
        <w:t>实施森林生态修复。</w:t>
      </w:r>
      <w:r>
        <w:rPr>
          <w:rFonts w:hint="eastAsia"/>
          <w:highlight w:val="none"/>
          <w:lang w:val="en"/>
        </w:rPr>
        <w:t>以泰山及其主要支脉和余脉的山丘区为重点，结合森林抚育、低产低效林分改造和退化林分修复，对现有森林植被进行增美添彩、提档升级，增强森林生态功能和碳汇能力。以荒山绿化攻坚和破损山体植被恢复为主攻方向，以小流域治理为单元，对立地条件差、造林难度大的宜林荒山开展系统治理和生态修复。坚持植苗造林、直播造林和封山育林相结合；注重针阔混交、乔灌搭配，提升绿化和景观效果。加快宜林荒山、四旁植树、道路水系等区域造林绿化，适地适树适草，努力提高绿化质量。对新造林严格封育管护。强化泰山重点区域森林防火救灾能力。</w:t>
      </w:r>
    </w:p>
    <w:p>
      <w:pPr>
        <w:pStyle w:val="4"/>
        <w:spacing w:before="156"/>
        <w:rPr>
          <w:highlight w:val="none"/>
          <w:lang w:val="en"/>
        </w:rPr>
      </w:pPr>
      <w:r>
        <w:rPr>
          <w:rFonts w:hint="eastAsia"/>
          <w:highlight w:val="none"/>
        </w:rPr>
        <w:t>多举措加大生物多样性保护</w:t>
      </w:r>
    </w:p>
    <w:p>
      <w:pPr>
        <w:ind w:firstLine="560"/>
        <w:rPr>
          <w:highlight w:val="none"/>
          <w:lang w:val="en"/>
        </w:rPr>
      </w:pPr>
      <w:r>
        <w:rPr>
          <w:rFonts w:hint="eastAsia"/>
          <w:highlight w:val="none"/>
          <w:lang w:val="en"/>
        </w:rPr>
        <w:t>逐步开展生物多样性基础调查评估与监测和外来入侵物种调查与风险评估工作，构建更全面、更完整的生物多样性监测网络体系。尝试开展</w:t>
      </w:r>
      <w:r>
        <w:rPr>
          <w:highlight w:val="none"/>
          <w:lang w:val="en"/>
        </w:rPr>
        <w:t>本地稀有野生动植物资源调查保护，依托各风景区、湿地建立生物多样性重点保护区域。</w:t>
      </w:r>
      <w:r>
        <w:rPr>
          <w:rFonts w:hint="eastAsia"/>
          <w:highlight w:val="none"/>
          <w:lang w:val="en"/>
        </w:rPr>
        <w:t>加强生物安全防范体系建设。加强湿地资源、植被、动物等生物多样性保护，</w:t>
      </w:r>
      <w:r>
        <w:rPr>
          <w:highlight w:val="none"/>
          <w:lang w:val="en"/>
        </w:rPr>
        <w:t>对具有代表性的自然生态系统区域和珍稀、濒危、特有野生动植物自然分布区域予以重点保护</w:t>
      </w:r>
      <w:r>
        <w:rPr>
          <w:rFonts w:hint="eastAsia"/>
          <w:highlight w:val="none"/>
          <w:lang w:val="en"/>
        </w:rPr>
        <w:t>。严厉打击乱捕滥猎鸟类、鱼类等破坏生态行为。开展鸟类栖息地保护工作，建设鸟类迁徙中转站、越冬地和繁殖地。加强湿地外来物种监测预警防控，维护湿地生态安全。加强水生生物多样性调查，全面评估水生生物受威胁状况，明确亟需保护的生态系统、物种和重点区域。</w:t>
      </w:r>
    </w:p>
    <w:p>
      <w:pPr>
        <w:pStyle w:val="3"/>
        <w:rPr>
          <w:b/>
          <w:bCs w:val="0"/>
          <w:highlight w:val="none"/>
        </w:rPr>
      </w:pPr>
      <w:bookmarkStart w:id="220" w:name="_Toc22245"/>
      <w:bookmarkStart w:id="221" w:name="_Toc30912"/>
      <w:bookmarkStart w:id="222" w:name="_Toc28773"/>
      <w:r>
        <w:rPr>
          <w:rFonts w:hint="eastAsia"/>
          <w:b/>
          <w:bCs w:val="0"/>
          <w:highlight w:val="none"/>
        </w:rPr>
        <w:t>积极主动</w:t>
      </w:r>
      <w:r>
        <w:rPr>
          <w:b/>
          <w:bCs w:val="0"/>
          <w:highlight w:val="none"/>
        </w:rPr>
        <w:t>应对气候变化</w:t>
      </w:r>
      <w:bookmarkEnd w:id="220"/>
      <w:bookmarkEnd w:id="221"/>
      <w:bookmarkEnd w:id="222"/>
    </w:p>
    <w:p>
      <w:pPr>
        <w:pStyle w:val="4"/>
        <w:spacing w:before="156"/>
        <w:rPr>
          <w:highlight w:val="none"/>
        </w:rPr>
      </w:pPr>
      <w:r>
        <w:rPr>
          <w:rFonts w:hint="eastAsia"/>
          <w:highlight w:val="none"/>
        </w:rPr>
        <w:t>增强适应气候变化能力</w:t>
      </w:r>
    </w:p>
    <w:p>
      <w:pPr>
        <w:ind w:firstLine="562"/>
        <w:rPr>
          <w:szCs w:val="30"/>
          <w:highlight w:val="none"/>
        </w:rPr>
      </w:pPr>
      <w:r>
        <w:rPr>
          <w:b/>
          <w:szCs w:val="30"/>
          <w:highlight w:val="none"/>
        </w:rPr>
        <w:t>加强生态环境准入管理。</w:t>
      </w:r>
      <w:r>
        <w:rPr>
          <w:szCs w:val="30"/>
          <w:highlight w:val="none"/>
        </w:rPr>
        <w:t>坚持底线约束，增强</w:t>
      </w:r>
      <w:r>
        <w:rPr>
          <w:rFonts w:hint="eastAsia"/>
          <w:szCs w:val="30"/>
          <w:highlight w:val="none"/>
        </w:rPr>
        <w:t>“</w:t>
      </w:r>
      <w:r>
        <w:rPr>
          <w:szCs w:val="30"/>
          <w:highlight w:val="none"/>
        </w:rPr>
        <w:t>绿色刚性</w:t>
      </w:r>
      <w:r>
        <w:rPr>
          <w:rFonts w:hint="eastAsia"/>
          <w:szCs w:val="30"/>
          <w:highlight w:val="none"/>
        </w:rPr>
        <w:t>”</w:t>
      </w:r>
      <w:r>
        <w:rPr>
          <w:szCs w:val="30"/>
          <w:highlight w:val="none"/>
        </w:rPr>
        <w:t>作用，严格落实国家重点生态功能区产业准入负面清单，将单位增加值（产值）能耗和碳排放水平等作为项目引入的重要门槛，坚决遏制高耗能、高排放、低水平项目盲目发展。</w:t>
      </w:r>
      <w:r>
        <w:rPr>
          <w:b/>
          <w:szCs w:val="30"/>
          <w:highlight w:val="none"/>
        </w:rPr>
        <w:t>持续提升生态系统碳汇能力。</w:t>
      </w:r>
      <w:r>
        <w:rPr>
          <w:szCs w:val="30"/>
          <w:highlight w:val="none"/>
        </w:rPr>
        <w:t>统筹推进山水林田湖草系统治理，深入开展国土绿化行动，加强林</w:t>
      </w:r>
      <w:r>
        <w:rPr>
          <w:rFonts w:hint="eastAsia"/>
          <w:szCs w:val="30"/>
          <w:highlight w:val="none"/>
        </w:rPr>
        <w:t>草</w:t>
      </w:r>
      <w:r>
        <w:rPr>
          <w:szCs w:val="30"/>
          <w:highlight w:val="none"/>
        </w:rPr>
        <w:t>资源保护，持续增加林</w:t>
      </w:r>
      <w:r>
        <w:rPr>
          <w:rFonts w:hint="eastAsia"/>
          <w:szCs w:val="30"/>
          <w:highlight w:val="none"/>
        </w:rPr>
        <w:t>草</w:t>
      </w:r>
      <w:r>
        <w:rPr>
          <w:szCs w:val="30"/>
          <w:highlight w:val="none"/>
        </w:rPr>
        <w:t>资源总量，增加生态系统碳汇，协同提高适应气候变化能力。</w:t>
      </w:r>
      <w:r>
        <w:rPr>
          <w:b/>
          <w:szCs w:val="30"/>
          <w:highlight w:val="none"/>
        </w:rPr>
        <w:t>强化监测预警和防灾减灾能力</w:t>
      </w:r>
      <w:r>
        <w:rPr>
          <w:szCs w:val="30"/>
          <w:highlight w:val="none"/>
        </w:rPr>
        <w:t>。强化自然灾害风险监测、调查和评估，完善自然灾害监测预警预报和综合风险防范体系。推动落实</w:t>
      </w:r>
      <w:r>
        <w:rPr>
          <w:rFonts w:hint="eastAsia"/>
          <w:szCs w:val="30"/>
          <w:highlight w:val="none"/>
        </w:rPr>
        <w:t>各类</w:t>
      </w:r>
      <w:r>
        <w:rPr>
          <w:szCs w:val="30"/>
          <w:highlight w:val="none"/>
        </w:rPr>
        <w:t>应急预案，全面提升灾害防范和应对能力。</w:t>
      </w:r>
    </w:p>
    <w:p>
      <w:pPr>
        <w:pStyle w:val="4"/>
        <w:spacing w:before="156"/>
        <w:rPr>
          <w:highlight w:val="none"/>
        </w:rPr>
      </w:pPr>
      <w:r>
        <w:rPr>
          <w:rFonts w:hint="eastAsia"/>
          <w:highlight w:val="none"/>
        </w:rPr>
        <w:t>推动重点领域减污降碳</w:t>
      </w:r>
    </w:p>
    <w:p>
      <w:pPr>
        <w:spacing w:after="120" w:line="312" w:lineRule="auto"/>
        <w:ind w:firstLine="562"/>
        <w:rPr>
          <w:szCs w:val="30"/>
          <w:highlight w:val="none"/>
        </w:rPr>
      </w:pPr>
      <w:r>
        <w:rPr>
          <w:rFonts w:hint="eastAsia"/>
          <w:b/>
          <w:szCs w:val="30"/>
          <w:highlight w:val="none"/>
        </w:rPr>
        <w:t>加快</w:t>
      </w:r>
      <w:r>
        <w:rPr>
          <w:b/>
          <w:szCs w:val="30"/>
          <w:highlight w:val="none"/>
        </w:rPr>
        <w:t>工业减污降碳。</w:t>
      </w:r>
      <w:r>
        <w:rPr>
          <w:szCs w:val="30"/>
          <w:highlight w:val="none"/>
        </w:rPr>
        <w:t>加快工业领域源头减排、过程控制、末端治理、综合利用全流程绿色发展。</w:t>
      </w:r>
      <w:r>
        <w:rPr>
          <w:highlight w:val="none"/>
        </w:rPr>
        <w:t>构建以低碳排放为特征的工业体系。以工业园区、产业集聚区为重点，通过原料替代、改善生产工艺、改进设备等措施减少温室气体排放。</w:t>
      </w:r>
      <w:r>
        <w:rPr>
          <w:b/>
          <w:szCs w:val="30"/>
          <w:highlight w:val="none"/>
        </w:rPr>
        <w:t>推动农业减污降碳。</w:t>
      </w:r>
      <w:r>
        <w:rPr>
          <w:szCs w:val="30"/>
          <w:highlight w:val="none"/>
        </w:rPr>
        <w:t>优化种养殖结构，推广农业低碳循环种养。深入实施化肥农药减量增效行动，加强种植业面源污染防治。提升秸秆综合利用水平，强化秸秆焚烧管控。</w:t>
      </w:r>
      <w:r>
        <w:rPr>
          <w:b/>
          <w:szCs w:val="30"/>
          <w:highlight w:val="none"/>
        </w:rPr>
        <w:t>推进交通运输减污降碳</w:t>
      </w:r>
      <w:r>
        <w:rPr>
          <w:szCs w:val="30"/>
          <w:highlight w:val="none"/>
        </w:rPr>
        <w:t>。完善交通基础设施，发展绿色配送体系。促进公路货运节能减排，推动城镇公共交通工具和环卫、邮政、通勤、轻型物流配送实现电动化、新能源化和清洁化。</w:t>
      </w:r>
    </w:p>
    <w:p>
      <w:pPr>
        <w:pStyle w:val="4"/>
        <w:spacing w:before="156"/>
        <w:rPr>
          <w:highlight w:val="none"/>
        </w:rPr>
      </w:pPr>
      <w:r>
        <w:rPr>
          <w:rFonts w:hint="eastAsia"/>
          <w:highlight w:val="none"/>
        </w:rPr>
        <w:t>推动节能减排综合提升</w:t>
      </w:r>
    </w:p>
    <w:p>
      <w:pPr>
        <w:spacing w:after="156" w:line="312" w:lineRule="auto"/>
        <w:ind w:firstLine="562"/>
        <w:rPr>
          <w:highlight w:val="none"/>
        </w:rPr>
      </w:pPr>
      <w:r>
        <w:rPr>
          <w:b/>
          <w:bCs/>
          <w:highlight w:val="none"/>
        </w:rPr>
        <w:t>建立健全低碳管理制度</w:t>
      </w:r>
      <w:r>
        <w:rPr>
          <w:rFonts w:hint="eastAsia"/>
          <w:b/>
          <w:bCs/>
          <w:highlight w:val="none"/>
        </w:rPr>
        <w:t>。</w:t>
      </w:r>
      <w:r>
        <w:rPr>
          <w:rFonts w:hint="eastAsia"/>
          <w:highlight w:val="none"/>
        </w:rPr>
        <w:t>将“</w:t>
      </w:r>
      <w:r>
        <w:rPr>
          <w:highlight w:val="none"/>
        </w:rPr>
        <w:t>双碳</w:t>
      </w:r>
      <w:r>
        <w:rPr>
          <w:rFonts w:hint="eastAsia"/>
          <w:highlight w:val="none"/>
        </w:rPr>
        <w:t>”</w:t>
      </w:r>
      <w:r>
        <w:rPr>
          <w:highlight w:val="none"/>
        </w:rPr>
        <w:t>理念全面融入</w:t>
      </w:r>
      <w:r>
        <w:rPr>
          <w:rFonts w:hint="eastAsia"/>
          <w:highlight w:val="none"/>
        </w:rPr>
        <w:t>环境监督</w:t>
      </w:r>
      <w:r>
        <w:rPr>
          <w:highlight w:val="none"/>
        </w:rPr>
        <w:t>管理全过程</w:t>
      </w:r>
      <w:r>
        <w:rPr>
          <w:rFonts w:hint="eastAsia"/>
          <w:highlight w:val="none"/>
        </w:rPr>
        <w:t>，</w:t>
      </w:r>
      <w:r>
        <w:rPr>
          <w:highlight w:val="none"/>
        </w:rPr>
        <w:t>推广使用智慧旅游系统，不断推进清洁能源利用，提升节水节能利用水平，全</w:t>
      </w:r>
      <w:r>
        <w:rPr>
          <w:rFonts w:hint="eastAsia"/>
          <w:highlight w:val="none"/>
        </w:rPr>
        <w:t>面</w:t>
      </w:r>
      <w:r>
        <w:rPr>
          <w:highlight w:val="none"/>
        </w:rPr>
        <w:t>开展垃圾分类回收，切实减少碳排放；加强低碳文明理念宣传，倡导低碳旅游，倡导文明祭祀，鼓励光盘行动等低碳行为。</w:t>
      </w:r>
      <w:r>
        <w:rPr>
          <w:b/>
          <w:szCs w:val="30"/>
          <w:highlight w:val="none"/>
        </w:rPr>
        <w:t>强化农业节水增效。</w:t>
      </w:r>
      <w:r>
        <w:rPr>
          <w:szCs w:val="30"/>
          <w:highlight w:val="none"/>
        </w:rPr>
        <w:t>大力推进现代化节水灌溉，探索建立节水型农业种植模式，优化农业种植结构。</w:t>
      </w:r>
      <w:r>
        <w:rPr>
          <w:b/>
          <w:szCs w:val="30"/>
          <w:highlight w:val="none"/>
        </w:rPr>
        <w:t>推进工业节水减排。</w:t>
      </w:r>
      <w:r>
        <w:rPr>
          <w:szCs w:val="30"/>
          <w:highlight w:val="none"/>
        </w:rPr>
        <w:t>推动高耗水行业节水增效，加快淘汰落后产能；加快工业产业结构调整与用水工艺提升改造，提升工业用水重复利用率；积极推行水循环梯级利用，加快节水及水循环利用设施建设。</w:t>
      </w:r>
      <w:r>
        <w:rPr>
          <w:b/>
          <w:szCs w:val="30"/>
          <w:highlight w:val="none"/>
        </w:rPr>
        <w:t>推进能源资源高效利用。</w:t>
      </w:r>
      <w:r>
        <w:rPr>
          <w:szCs w:val="30"/>
          <w:highlight w:val="none"/>
        </w:rPr>
        <w:t>推进重点领域能源资源节约高效利用。实施建筑、公共交通、公共机构、企业等节能改造。推进工业领域节能减排和节能技术改造提升项目，实施节能技术产业化示范等项目。协同推进降碳、减污、扩绿、增长，以高品质生态环境支撑高质量发展</w:t>
      </w:r>
      <w:r>
        <w:rPr>
          <w:rFonts w:hint="eastAsia"/>
          <w:szCs w:val="30"/>
          <w:highlight w:val="none"/>
        </w:rPr>
        <w:t>。</w:t>
      </w:r>
    </w:p>
    <w:p>
      <w:pPr>
        <w:numPr>
          <w:ilvl w:val="0"/>
          <w:numId w:val="1"/>
        </w:numPr>
        <w:ind w:firstLineChars="0"/>
        <w:rPr>
          <w:highlight w:val="none"/>
        </w:rPr>
      </w:pPr>
      <w:bookmarkStart w:id="223" w:name="_Toc30895"/>
      <w:bookmarkStart w:id="224" w:name="_Toc16874"/>
      <w:bookmarkStart w:id="225" w:name="_Toc143041442"/>
      <w:r>
        <w:rPr>
          <w:highlight w:val="none"/>
        </w:rPr>
        <w:br w:type="page"/>
      </w:r>
    </w:p>
    <w:p>
      <w:pPr>
        <w:pStyle w:val="2"/>
        <w:numPr>
          <w:ilvl w:val="0"/>
          <w:numId w:val="0"/>
        </w:numPr>
        <w:ind w:leftChars="0"/>
        <w:rPr>
          <w:highlight w:val="none"/>
        </w:rPr>
      </w:pPr>
      <w:bookmarkStart w:id="226" w:name="_Toc23087"/>
      <w:r>
        <w:rPr>
          <w:rFonts w:hint="eastAsia"/>
          <w:highlight w:val="none"/>
          <w:lang w:eastAsia="zh-CN"/>
        </w:rPr>
        <w:t>第六章</w:t>
      </w:r>
      <w:r>
        <w:rPr>
          <w:rFonts w:hint="eastAsia"/>
          <w:highlight w:val="none"/>
          <w:lang w:val="en-US" w:eastAsia="zh-CN"/>
        </w:rPr>
        <w:t xml:space="preserve"> </w:t>
      </w:r>
      <w:r>
        <w:rPr>
          <w:highlight w:val="none"/>
        </w:rPr>
        <w:t>生态空间体系建设规划</w:t>
      </w:r>
      <w:bookmarkEnd w:id="223"/>
      <w:bookmarkEnd w:id="224"/>
      <w:bookmarkEnd w:id="225"/>
      <w:bookmarkEnd w:id="226"/>
    </w:p>
    <w:p>
      <w:pPr>
        <w:pStyle w:val="3"/>
        <w:rPr>
          <w:b/>
          <w:bCs w:val="0"/>
          <w:highlight w:val="none"/>
        </w:rPr>
      </w:pPr>
      <w:bookmarkStart w:id="227" w:name="_Toc143041443"/>
      <w:bookmarkStart w:id="228" w:name="_Toc8457"/>
      <w:bookmarkStart w:id="229" w:name="_Toc28849"/>
      <w:bookmarkStart w:id="230" w:name="_Toc10207"/>
      <w:r>
        <w:rPr>
          <w:rFonts w:hint="eastAsia"/>
          <w:b/>
          <w:bCs w:val="0"/>
          <w:highlight w:val="none"/>
        </w:rPr>
        <w:t>强化生态空间用途管制</w:t>
      </w:r>
      <w:bookmarkEnd w:id="227"/>
      <w:bookmarkEnd w:id="228"/>
      <w:bookmarkEnd w:id="229"/>
      <w:bookmarkEnd w:id="230"/>
    </w:p>
    <w:p>
      <w:pPr>
        <w:pStyle w:val="4"/>
        <w:spacing w:before="156"/>
        <w:rPr>
          <w:highlight w:val="none"/>
        </w:rPr>
      </w:pPr>
      <w:r>
        <w:rPr>
          <w:rFonts w:hint="eastAsia"/>
          <w:highlight w:val="none"/>
          <w:lang w:val="en"/>
        </w:rPr>
        <w:t>依法依规</w:t>
      </w:r>
      <w:r>
        <w:rPr>
          <w:rFonts w:hint="eastAsia"/>
          <w:highlight w:val="none"/>
        </w:rPr>
        <w:t>严守生态保护红线</w:t>
      </w:r>
    </w:p>
    <w:p>
      <w:pPr>
        <w:ind w:firstLine="560"/>
        <w:rPr>
          <w:highlight w:val="none"/>
          <w:lang w:val="en"/>
        </w:rPr>
      </w:pPr>
      <w:r>
        <w:rPr>
          <w:rFonts w:hint="eastAsia"/>
          <w:highlight w:val="none"/>
          <w:lang w:val="en"/>
        </w:rPr>
        <w:t>按照《山东省生态保护红线划定方案》和泰安市生态保护红线区域划定方案强化生态保护红线刚性约束，落实生态保护红线边界，依法依规严守生态保护红线，保障落地。至</w:t>
      </w:r>
      <w:r>
        <w:rPr>
          <w:highlight w:val="none"/>
          <w:lang w:val="en"/>
        </w:rPr>
        <w:t>2025</w:t>
      </w:r>
      <w:r>
        <w:rPr>
          <w:rFonts w:hint="eastAsia"/>
          <w:highlight w:val="none"/>
          <w:lang w:val="en"/>
        </w:rPr>
        <w:t>年底前，生态保护红线区占国土面积不低于现状。尝试建立生态保护红线监控体系与评价考核制度，配合国家做好生态保护红线保护成效评价考核工作。探索建立生态保护红线监测网络和信息管理数据库，定期开展评价，定期开展执法督查，确保生态功能不降低、面积不减少、性质不改变、责任不改变。</w:t>
      </w:r>
    </w:p>
    <w:p>
      <w:pPr>
        <w:pStyle w:val="4"/>
        <w:spacing w:before="156"/>
        <w:rPr>
          <w:highlight w:val="none"/>
        </w:rPr>
      </w:pPr>
      <w:r>
        <w:rPr>
          <w:rFonts w:hint="eastAsia"/>
          <w:highlight w:val="none"/>
        </w:rPr>
        <w:t>构建并不断优化生态安全格局</w:t>
      </w:r>
    </w:p>
    <w:p>
      <w:pPr>
        <w:ind w:firstLine="560"/>
        <w:rPr>
          <w:highlight w:val="none"/>
          <w:lang w:val="en"/>
        </w:rPr>
      </w:pPr>
      <w:r>
        <w:rPr>
          <w:rFonts w:hint="eastAsia"/>
          <w:highlight w:val="none"/>
          <w:lang w:val="en"/>
        </w:rPr>
        <w:t>以功能多样性理念推进生态空间分区管控，全面落实“三线一单”制度，实现生态保护、经济发展、文化传承、社会和谐等多样化</w:t>
      </w:r>
      <w:r>
        <w:rPr>
          <w:rFonts w:hint="eastAsia"/>
          <w:highlight w:val="none"/>
        </w:rPr>
        <w:t>功能</w:t>
      </w:r>
      <w:r>
        <w:rPr>
          <w:rFonts w:hint="eastAsia"/>
          <w:highlight w:val="none"/>
          <w:lang w:val="en"/>
        </w:rPr>
        <w:t>。以泰山、大汶河等高质量生态要素为主体，建立“一山一河多廊多点”的生态空间结构，形成相互滋养、命脉相连的生命共同体。筑牢泰山、大汶河生态屏障，构建其他水系作为廊道，重点生态斑块作为生态源地的生态空间格局，加强生态空间分区管控，提高生态系统连通性。实施山林修复、水体整治、调水工程等。强化对泰山景区和大汶河流域自然资源的统一管理，明确管理主体，优化管理体制。</w:t>
      </w:r>
    </w:p>
    <w:p>
      <w:pPr>
        <w:pStyle w:val="3"/>
        <w:rPr>
          <w:b/>
          <w:bCs w:val="0"/>
          <w:highlight w:val="none"/>
        </w:rPr>
      </w:pPr>
      <w:bookmarkStart w:id="231" w:name="_Toc760"/>
      <w:r>
        <w:rPr>
          <w:rFonts w:hint="eastAsia"/>
          <w:b/>
          <w:bCs w:val="0"/>
          <w:highlight w:val="none"/>
          <w:lang w:val="en"/>
        </w:rPr>
        <w:t>推动</w:t>
      </w:r>
      <w:r>
        <w:rPr>
          <w:rFonts w:hint="eastAsia"/>
          <w:b/>
          <w:bCs w:val="0"/>
          <w:highlight w:val="none"/>
        </w:rPr>
        <w:t>自然保护地体系建设</w:t>
      </w:r>
      <w:bookmarkEnd w:id="231"/>
    </w:p>
    <w:p>
      <w:pPr>
        <w:ind w:firstLine="560"/>
        <w:rPr>
          <w:highlight w:val="none"/>
          <w:lang w:val="en"/>
        </w:rPr>
      </w:pPr>
      <w:r>
        <w:rPr>
          <w:rFonts w:hint="eastAsia"/>
          <w:highlight w:val="none"/>
          <w:lang w:val="en"/>
        </w:rPr>
        <w:t>加强与景区的沟通协调，持续强化自然保护区规范化建设，推进以泰山为主体的自然保护地整合优化，修订完善保护地管理法规政策和发展规划，健全管理机构和人员队伍，加快构建分类科学、布局合理、功能完备、保护有力管理</w:t>
      </w:r>
      <w:r>
        <w:rPr>
          <w:rFonts w:hint="eastAsia"/>
          <w:highlight w:val="none"/>
        </w:rPr>
        <w:t>有效</w:t>
      </w:r>
      <w:r>
        <w:rPr>
          <w:rFonts w:hint="eastAsia"/>
          <w:highlight w:val="none"/>
          <w:lang w:val="en"/>
        </w:rPr>
        <w:t>的保护地体系。深入抓好生态系统修复治理，开展保护地自然资源监管，实行严格保护，采取分区管控、差别化保护措施，把需要保护的都保护起来，突出重点物种保护。</w:t>
      </w:r>
    </w:p>
    <w:p>
      <w:pPr>
        <w:pStyle w:val="3"/>
        <w:rPr>
          <w:b/>
          <w:bCs w:val="0"/>
          <w:highlight w:val="none"/>
        </w:rPr>
      </w:pPr>
      <w:bookmarkStart w:id="232" w:name="_Toc142605828"/>
      <w:bookmarkStart w:id="233" w:name="_Toc3336"/>
      <w:bookmarkStart w:id="234" w:name="_Toc143041444"/>
      <w:bookmarkStart w:id="235" w:name="_Toc27224"/>
      <w:bookmarkStart w:id="236" w:name="_Toc26093"/>
      <w:r>
        <w:rPr>
          <w:rFonts w:hint="eastAsia"/>
          <w:b/>
          <w:bCs w:val="0"/>
          <w:highlight w:val="none"/>
        </w:rPr>
        <w:t>加强</w:t>
      </w:r>
      <w:bookmarkEnd w:id="232"/>
      <w:bookmarkStart w:id="237" w:name="_Toc142605834"/>
      <w:bookmarkEnd w:id="237"/>
      <w:bookmarkStart w:id="238" w:name="_Toc142605835"/>
      <w:bookmarkEnd w:id="238"/>
      <w:bookmarkStart w:id="239" w:name="_Toc142605829"/>
      <w:bookmarkEnd w:id="239"/>
      <w:bookmarkStart w:id="240" w:name="_Toc142605830"/>
      <w:bookmarkEnd w:id="240"/>
      <w:bookmarkStart w:id="241" w:name="_Toc142605833"/>
      <w:bookmarkEnd w:id="241"/>
      <w:bookmarkStart w:id="242" w:name="_Toc142605831"/>
      <w:bookmarkEnd w:id="242"/>
      <w:bookmarkStart w:id="243" w:name="_Toc142605838"/>
      <w:bookmarkEnd w:id="243"/>
      <w:bookmarkStart w:id="244" w:name="_Toc142605832"/>
      <w:bookmarkEnd w:id="244"/>
      <w:bookmarkStart w:id="245" w:name="_Toc142605837"/>
      <w:bookmarkEnd w:id="245"/>
      <w:bookmarkStart w:id="246" w:name="_Toc142605836"/>
      <w:bookmarkEnd w:id="246"/>
      <w:r>
        <w:rPr>
          <w:rFonts w:hint="eastAsia"/>
          <w:b/>
          <w:bCs w:val="0"/>
          <w:highlight w:val="none"/>
        </w:rPr>
        <w:t>河湖岸线保护与利用</w:t>
      </w:r>
      <w:bookmarkEnd w:id="233"/>
      <w:bookmarkEnd w:id="234"/>
      <w:bookmarkEnd w:id="235"/>
      <w:bookmarkEnd w:id="236"/>
    </w:p>
    <w:p>
      <w:pPr>
        <w:pStyle w:val="4"/>
        <w:spacing w:before="156"/>
        <w:rPr>
          <w:highlight w:val="none"/>
        </w:rPr>
      </w:pPr>
      <w:r>
        <w:rPr>
          <w:rFonts w:hint="eastAsia"/>
          <w:highlight w:val="none"/>
        </w:rPr>
        <w:t>严格合理利用河湖岸线资源</w:t>
      </w:r>
      <w:r>
        <w:rPr>
          <w:highlight w:val="none"/>
        </w:rPr>
        <w:t xml:space="preserve"> </w:t>
      </w:r>
    </w:p>
    <w:p>
      <w:pPr>
        <w:ind w:firstLine="560"/>
        <w:rPr>
          <w:highlight w:val="none"/>
          <w:lang w:val="en"/>
        </w:rPr>
      </w:pPr>
      <w:r>
        <w:rPr>
          <w:rFonts w:hint="eastAsia"/>
          <w:highlight w:val="none"/>
          <w:lang w:val="en"/>
        </w:rPr>
        <w:t>以水库防洪安全为前提，以资源环境承载力和国土空间开发适宜性评价为基础，科学划分大汶河岸线功能区，合理划定“</w:t>
      </w:r>
      <w:r>
        <w:rPr>
          <w:rFonts w:hint="eastAsia"/>
          <w:highlight w:val="none"/>
        </w:rPr>
        <w:t>三生</w:t>
      </w:r>
      <w:r>
        <w:rPr>
          <w:rFonts w:hint="eastAsia"/>
          <w:highlight w:val="none"/>
          <w:lang w:val="en"/>
        </w:rPr>
        <w:t>”空间管制界限，完善岸线资源保护长效机制。实行河湖岸线分区管理，强化岸线用途管制和节约集约利用，严格控制开发利用强度，最大程度保持河湖岸线自然形态。合理开发利用黄河滩区，加快推进交通设施布局、城镇乡村建设、特色产业发展、文旅资源开发。严格环境准入，探索</w:t>
      </w:r>
      <w:r>
        <w:rPr>
          <w:rFonts w:hint="eastAsia"/>
          <w:highlight w:val="none"/>
        </w:rPr>
        <w:t>开展</w:t>
      </w:r>
      <w:r>
        <w:rPr>
          <w:rFonts w:hint="eastAsia"/>
          <w:highlight w:val="none"/>
          <w:lang w:val="en"/>
        </w:rPr>
        <w:t>洪水影响评价，严防沿岸工业和地产项目过度开发。</w:t>
      </w:r>
    </w:p>
    <w:p>
      <w:pPr>
        <w:pStyle w:val="4"/>
        <w:spacing w:before="156"/>
        <w:rPr>
          <w:highlight w:val="none"/>
        </w:rPr>
      </w:pPr>
      <w:r>
        <w:rPr>
          <w:rFonts w:hint="eastAsia"/>
          <w:highlight w:val="none"/>
        </w:rPr>
        <w:t>持续开展自然生态综合治理</w:t>
      </w:r>
    </w:p>
    <w:p>
      <w:pPr>
        <w:ind w:firstLine="560"/>
        <w:rPr>
          <w:highlight w:val="none"/>
          <w:lang w:val="en"/>
        </w:rPr>
        <w:sectPr>
          <w:footerReference r:id="rId19" w:type="default"/>
          <w:pgSz w:w="11906" w:h="16838"/>
          <w:pgMar w:top="1440" w:right="1800" w:bottom="1440" w:left="1800" w:header="851" w:footer="992" w:gutter="0"/>
          <w:cols w:space="425" w:num="1"/>
          <w:docGrid w:type="lines" w:linePitch="312" w:charSpace="0"/>
        </w:sectPr>
      </w:pPr>
      <w:r>
        <w:rPr>
          <w:rFonts w:hint="eastAsia"/>
          <w:highlight w:val="none"/>
          <w:lang w:val="en"/>
        </w:rPr>
        <w:t>加大河道整治力度，建设拦水坝、水闸、非铺底河床、生态缓坡、湿地公园等，增加河道渗漏调蓄能力，具备条件的河道推广运用自然生态驳岸、弯曲河岸线等生态措施。通过控源截污、河道清淤疏浚、补水活水和增加河道植被等，去除雨水径流污染，提高河道水体质量。实施小流域水土保持综合治理工程，全面提升流域自然生态。实施水质深度净化工程，在污水厂下游、河流干道建设人工湿地。</w:t>
      </w:r>
    </w:p>
    <w:p>
      <w:pPr>
        <w:pStyle w:val="2"/>
        <w:rPr>
          <w:highlight w:val="none"/>
        </w:rPr>
      </w:pPr>
      <w:bookmarkStart w:id="247" w:name="_Toc16748"/>
      <w:bookmarkStart w:id="248" w:name="_Toc31294"/>
      <w:bookmarkStart w:id="249" w:name="_Toc24100"/>
      <w:bookmarkStart w:id="250" w:name="_Toc143041445"/>
      <w:r>
        <w:rPr>
          <w:highlight w:val="none"/>
        </w:rPr>
        <w:t>生态经济体系建设规划</w:t>
      </w:r>
      <w:bookmarkEnd w:id="247"/>
      <w:bookmarkEnd w:id="248"/>
      <w:bookmarkEnd w:id="249"/>
      <w:bookmarkEnd w:id="250"/>
    </w:p>
    <w:p>
      <w:pPr>
        <w:pStyle w:val="3"/>
        <w:rPr>
          <w:b/>
          <w:bCs w:val="0"/>
          <w:highlight w:val="none"/>
        </w:rPr>
      </w:pPr>
      <w:bookmarkStart w:id="251" w:name="_Toc11856"/>
      <w:bookmarkStart w:id="252" w:name="_Toc1773"/>
      <w:bookmarkStart w:id="253" w:name="_Toc15820"/>
      <w:bookmarkStart w:id="254" w:name="_Toc143041446"/>
      <w:r>
        <w:rPr>
          <w:b/>
          <w:bCs w:val="0"/>
          <w:highlight w:val="none"/>
        </w:rPr>
        <w:t>推动生态产业发展</w:t>
      </w:r>
      <w:bookmarkEnd w:id="251"/>
      <w:bookmarkEnd w:id="252"/>
      <w:bookmarkEnd w:id="253"/>
    </w:p>
    <w:p>
      <w:pPr>
        <w:pStyle w:val="4"/>
        <w:spacing w:before="156"/>
        <w:rPr>
          <w:highlight w:val="none"/>
        </w:rPr>
      </w:pPr>
      <w:r>
        <w:rPr>
          <w:highlight w:val="none"/>
        </w:rPr>
        <w:t>推进</w:t>
      </w:r>
      <w:r>
        <w:rPr>
          <w:rFonts w:hint="eastAsia"/>
          <w:highlight w:val="none"/>
        </w:rPr>
        <w:t>产业</w:t>
      </w:r>
      <w:r>
        <w:rPr>
          <w:highlight w:val="none"/>
        </w:rPr>
        <w:t>循环经济发展</w:t>
      </w:r>
    </w:p>
    <w:p>
      <w:pPr>
        <w:ind w:firstLine="560"/>
        <w:rPr>
          <w:highlight w:val="none"/>
        </w:rPr>
      </w:pPr>
      <w:r>
        <w:rPr>
          <w:highlight w:val="none"/>
        </w:rPr>
        <w:t>严格绿色低碳准入要求，增强新发展格局中</w:t>
      </w:r>
      <w:r>
        <w:rPr>
          <w:rFonts w:hint="eastAsia"/>
          <w:highlight w:val="none"/>
        </w:rPr>
        <w:t>“</w:t>
      </w:r>
      <w:r>
        <w:rPr>
          <w:highlight w:val="none"/>
        </w:rPr>
        <w:t>绿色刚性</w:t>
      </w:r>
      <w:r>
        <w:rPr>
          <w:rFonts w:hint="eastAsia"/>
          <w:highlight w:val="none"/>
        </w:rPr>
        <w:t>”</w:t>
      </w:r>
      <w:r>
        <w:rPr>
          <w:highlight w:val="none"/>
        </w:rPr>
        <w:t>的作用，控制单位GDP能耗和碳排放强度。积极开展产业结构调整负面清单目录管理，落实落后产能市场出清任务。依据安全、环保、技术、能耗、效益标准，以煤电</w:t>
      </w:r>
      <w:r>
        <w:rPr>
          <w:rFonts w:hint="eastAsia"/>
          <w:highlight w:val="none"/>
        </w:rPr>
        <w:t>、</w:t>
      </w:r>
      <w:r>
        <w:rPr>
          <w:highlight w:val="none"/>
        </w:rPr>
        <w:t>铸造等行业为重点，分类组织实施转移、压减、整合、关停任务，加快淘汰低效落后产能。</w:t>
      </w:r>
    </w:p>
    <w:p>
      <w:pPr>
        <w:pStyle w:val="4"/>
        <w:spacing w:before="156"/>
        <w:rPr>
          <w:highlight w:val="none"/>
        </w:rPr>
      </w:pPr>
      <w:r>
        <w:rPr>
          <w:rFonts w:hint="eastAsia"/>
          <w:highlight w:val="none"/>
        </w:rPr>
        <w:t>大力</w:t>
      </w:r>
      <w:r>
        <w:rPr>
          <w:highlight w:val="none"/>
        </w:rPr>
        <w:t>发展绿色低碳产业</w:t>
      </w:r>
    </w:p>
    <w:p>
      <w:pPr>
        <w:ind w:firstLine="560"/>
        <w:rPr>
          <w:highlight w:val="none"/>
        </w:rPr>
      </w:pPr>
      <w:r>
        <w:rPr>
          <w:highlight w:val="none"/>
        </w:rPr>
        <w:t>引导企业树立绿色制造理念，推广绿色设计和绿色产品开发，加快构建绿色制造体系，增强新发展格局中</w:t>
      </w:r>
      <w:r>
        <w:rPr>
          <w:rFonts w:hint="eastAsia"/>
          <w:highlight w:val="none"/>
        </w:rPr>
        <w:t>“</w:t>
      </w:r>
      <w:r>
        <w:rPr>
          <w:highlight w:val="none"/>
        </w:rPr>
        <w:t>绿色增长</w:t>
      </w:r>
      <w:r>
        <w:rPr>
          <w:rFonts w:hint="eastAsia"/>
          <w:highlight w:val="none"/>
        </w:rPr>
        <w:t>”</w:t>
      </w:r>
      <w:r>
        <w:rPr>
          <w:highlight w:val="none"/>
        </w:rPr>
        <w:t>的作用。以铸造、建材、工业涂装、包装印刷</w:t>
      </w:r>
      <w:r>
        <w:rPr>
          <w:rFonts w:hint="eastAsia"/>
          <w:highlight w:val="none"/>
        </w:rPr>
        <w:t>、纺织印染</w:t>
      </w:r>
      <w:r>
        <w:rPr>
          <w:highlight w:val="none"/>
        </w:rPr>
        <w:t>等行业为重点，实施重点行业全流程清洁化、循环化、低碳化改造，促进传统产业绿色转型升级。深化推进工业园区和企业循环化改造，加快建立废旧家电、废旧轮胎等回收利用体系，提升区域生态化水平。实施绿色低碳产业链创新工程，培育壮大绿色低碳产业，打造新发展格局的新动能。</w:t>
      </w:r>
    </w:p>
    <w:p>
      <w:pPr>
        <w:pStyle w:val="4"/>
        <w:spacing w:before="156"/>
        <w:rPr>
          <w:highlight w:val="none"/>
        </w:rPr>
      </w:pPr>
      <w:r>
        <w:rPr>
          <w:rFonts w:hint="eastAsia"/>
          <w:highlight w:val="none"/>
        </w:rPr>
        <w:t>推动农业减量化资源化</w:t>
      </w:r>
    </w:p>
    <w:p>
      <w:pPr>
        <w:ind w:firstLine="562"/>
        <w:rPr>
          <w:highlight w:val="none"/>
        </w:rPr>
      </w:pPr>
      <w:r>
        <w:rPr>
          <w:b/>
          <w:bCs/>
          <w:highlight w:val="none"/>
        </w:rPr>
        <w:t>推进畜禽养殖废弃物资源化利用。</w:t>
      </w:r>
      <w:r>
        <w:rPr>
          <w:highlight w:val="none"/>
        </w:rPr>
        <w:t>以大型畜禽规模养殖场为重点，因地制宜规范粪污处理和利用，科学确定畜禽养殖废弃物资源化利用方式。加快配套完善畜禽养殖废弃物资源化利用设施设备，完善畜禽养殖污染监管制度。</w:t>
      </w:r>
      <w:r>
        <w:rPr>
          <w:b/>
          <w:bCs/>
          <w:highlight w:val="none"/>
        </w:rPr>
        <w:t>加强化肥农药总量控制。</w:t>
      </w:r>
      <w:r>
        <w:rPr>
          <w:highlight w:val="none"/>
        </w:rPr>
        <w:t>推进化肥农药减量增效行动，确保化肥农药使用量持续减少。开展农药减量示范，大力推广物理防治和生物防治技术，实现绿色防控全覆盖。</w:t>
      </w:r>
      <w:r>
        <w:rPr>
          <w:b/>
          <w:bCs/>
          <w:highlight w:val="none"/>
        </w:rPr>
        <w:t>提高废弃物管理水平。</w:t>
      </w:r>
      <w:r>
        <w:rPr>
          <w:highlight w:val="none"/>
        </w:rPr>
        <w:t>完善秸秆收储运服务体系，积极推动秸秆综合利用。深入实施农田残膜废弃物回收行动，提高农田残膜回收率和资源化利用水平。完善农田残膜回收财政奖励补助机制。</w:t>
      </w:r>
    </w:p>
    <w:p>
      <w:pPr>
        <w:pStyle w:val="4"/>
        <w:spacing w:before="156"/>
        <w:rPr>
          <w:highlight w:val="none"/>
        </w:rPr>
      </w:pPr>
      <w:r>
        <w:rPr>
          <w:rFonts w:hint="eastAsia"/>
          <w:highlight w:val="none"/>
        </w:rPr>
        <w:t>盘活利用闲置土地资源</w:t>
      </w:r>
    </w:p>
    <w:p>
      <w:pPr>
        <w:ind w:firstLine="560"/>
        <w:rPr>
          <w:highlight w:val="none"/>
        </w:rPr>
      </w:pPr>
      <w:r>
        <w:rPr>
          <w:highlight w:val="none"/>
        </w:rPr>
        <w:t>深化推进城镇土地使用税征收改革，建立低效工业用地市场化退出机制，推进资源要素向优势产业和重大项目集聚，逐步提高用地效益。</w:t>
      </w:r>
      <w:r>
        <w:rPr>
          <w:rFonts w:hint="eastAsia"/>
          <w:highlight w:val="none"/>
        </w:rPr>
        <w:t>以农村“三资”清理工作为抓手，以清理闲置土地、宅基地、闲散院落为突破口，加强闲散土地盘活利用，打造现代高端农业产业园，民宿建设等，推动村集体增收，实现乡村振兴。</w:t>
      </w:r>
    </w:p>
    <w:p>
      <w:pPr>
        <w:pStyle w:val="4"/>
        <w:spacing w:before="156"/>
        <w:rPr>
          <w:highlight w:val="none"/>
        </w:rPr>
      </w:pPr>
      <w:r>
        <w:rPr>
          <w:rFonts w:hint="eastAsia"/>
          <w:highlight w:val="none"/>
        </w:rPr>
        <w:t>严格行业用水节水管理</w:t>
      </w:r>
    </w:p>
    <w:p>
      <w:pPr>
        <w:ind w:firstLine="560"/>
        <w:rPr>
          <w:highlight w:val="none"/>
        </w:rPr>
      </w:pPr>
      <w:r>
        <w:rPr>
          <w:rFonts w:hint="eastAsia"/>
          <w:highlight w:val="none"/>
        </w:rPr>
        <w:t>推进最严格水资源管理制度落实。加强水资源“三条红线”管理，健全水资源监控体系，提高水资源利用率。</w:t>
      </w:r>
      <w:r>
        <w:rPr>
          <w:highlight w:val="none"/>
        </w:rPr>
        <w:t>强化农业节水增效</w:t>
      </w:r>
      <w:r>
        <w:rPr>
          <w:rFonts w:hint="eastAsia"/>
          <w:highlight w:val="none"/>
        </w:rPr>
        <w:t>，</w:t>
      </w:r>
      <w:r>
        <w:rPr>
          <w:highlight w:val="none"/>
        </w:rPr>
        <w:t>探索建立节水型农业种植模式。推进工业节水减排</w:t>
      </w:r>
      <w:r>
        <w:rPr>
          <w:rFonts w:hint="eastAsia"/>
          <w:highlight w:val="none"/>
        </w:rPr>
        <w:t>，</w:t>
      </w:r>
      <w:r>
        <w:rPr>
          <w:highlight w:val="none"/>
        </w:rPr>
        <w:t>推动高耗水行业节水增效，加快产业结构调整与用水工艺提升改造，提升工业用水重复利用率；积极推行水循环梯级利用，加快节水及水循环利用设施建设。</w:t>
      </w:r>
    </w:p>
    <w:p>
      <w:pPr>
        <w:pStyle w:val="3"/>
        <w:rPr>
          <w:b/>
          <w:bCs w:val="0"/>
          <w:highlight w:val="none"/>
        </w:rPr>
      </w:pPr>
      <w:bookmarkStart w:id="255" w:name="_Toc13299"/>
      <w:bookmarkStart w:id="256" w:name="_Toc27068"/>
      <w:bookmarkStart w:id="257" w:name="_Toc14900"/>
      <w:r>
        <w:rPr>
          <w:b/>
          <w:bCs w:val="0"/>
          <w:highlight w:val="none"/>
        </w:rPr>
        <w:t>构建现代产业体系</w:t>
      </w:r>
      <w:bookmarkEnd w:id="255"/>
      <w:bookmarkEnd w:id="256"/>
      <w:bookmarkEnd w:id="257"/>
    </w:p>
    <w:p>
      <w:pPr>
        <w:pStyle w:val="4"/>
        <w:spacing w:before="156"/>
        <w:rPr>
          <w:highlight w:val="none"/>
        </w:rPr>
      </w:pPr>
      <w:r>
        <w:rPr>
          <w:highlight w:val="none"/>
        </w:rPr>
        <w:t>创新</w:t>
      </w:r>
      <w:r>
        <w:rPr>
          <w:rFonts w:hint="eastAsia"/>
          <w:highlight w:val="none"/>
        </w:rPr>
        <w:t>发展</w:t>
      </w:r>
      <w:r>
        <w:rPr>
          <w:highlight w:val="none"/>
        </w:rPr>
        <w:t>生产性服务业</w:t>
      </w:r>
    </w:p>
    <w:p>
      <w:pPr>
        <w:ind w:firstLine="562"/>
        <w:rPr>
          <w:highlight w:val="none"/>
        </w:rPr>
      </w:pPr>
      <w:bookmarkStart w:id="258" w:name="_Hlk143805035"/>
      <w:r>
        <w:rPr>
          <w:rFonts w:hint="eastAsia"/>
          <w:b/>
          <w:bCs/>
          <w:highlight w:val="none"/>
        </w:rPr>
        <w:t>壮大</w:t>
      </w:r>
      <w:r>
        <w:rPr>
          <w:b/>
          <w:bCs/>
          <w:highlight w:val="none"/>
        </w:rPr>
        <w:t>科技服务业体系。</w:t>
      </w:r>
      <w:r>
        <w:rPr>
          <w:highlight w:val="none"/>
        </w:rPr>
        <w:t>发挥科技服务对科技创新和产业发展支撑作用，促进</w:t>
      </w:r>
      <w:r>
        <w:rPr>
          <w:rFonts w:hint="eastAsia"/>
          <w:highlight w:val="none"/>
        </w:rPr>
        <w:t>其</w:t>
      </w:r>
      <w:r>
        <w:rPr>
          <w:highlight w:val="none"/>
        </w:rPr>
        <w:t>与实体经济的深度融合。依托泰城高校、国家先进印染技术创新中心和国际文化大数据（泰山）产业城等资源平台优势，加快技术转移服务、创业孵化服务、检验检测服务、知识产权服务、科技金融服务等领域发展，加快构建服务机构健全、产业链条完整、组织形式新颖、投入渠道多元、区域特色突出的科技服务业体系。</w:t>
      </w:r>
    </w:p>
    <w:p>
      <w:pPr>
        <w:ind w:firstLine="562"/>
        <w:rPr>
          <w:highlight w:val="none"/>
        </w:rPr>
      </w:pPr>
      <w:r>
        <w:rPr>
          <w:rFonts w:hint="eastAsia"/>
          <w:b/>
          <w:bCs/>
          <w:highlight w:val="none"/>
        </w:rPr>
        <w:t>探索</w:t>
      </w:r>
      <w:r>
        <w:rPr>
          <w:b/>
          <w:bCs/>
          <w:highlight w:val="none"/>
        </w:rPr>
        <w:t>新型金融产业体系。</w:t>
      </w:r>
      <w:r>
        <w:rPr>
          <w:highlight w:val="none"/>
        </w:rPr>
        <w:t>巩固拓展传统金融，依托</w:t>
      </w:r>
      <w:r>
        <w:rPr>
          <w:rFonts w:hint="eastAsia"/>
          <w:highlight w:val="none"/>
        </w:rPr>
        <w:t>万达广场</w:t>
      </w:r>
      <w:r>
        <w:rPr>
          <w:highlight w:val="none"/>
        </w:rPr>
        <w:t>、时代发展线等商业区域，在引进银行、保险等传统金融机构的基础上，积极引进各类新型金融机构，形成互为依托、共同发展的现代金融体系。大力发展新兴金融，培育发展供应链金融、科技金融等各类新兴金融业态，与电子商务、跨境贸易、信息服务、现代物流等领域融合发展。</w:t>
      </w:r>
    </w:p>
    <w:p>
      <w:pPr>
        <w:ind w:firstLine="562"/>
        <w:rPr>
          <w:highlight w:val="none"/>
        </w:rPr>
      </w:pPr>
      <w:r>
        <w:rPr>
          <w:b/>
          <w:bCs/>
          <w:highlight w:val="none"/>
        </w:rPr>
        <w:t>加快发展数字经济。</w:t>
      </w:r>
      <w:r>
        <w:rPr>
          <w:highlight w:val="none"/>
        </w:rPr>
        <w:t>提升数字产业化能力，提升工业企业数字化水平，打造智能制造标杆工厂。围绕农业高质量发展等乡村振兴战略任务，发展数字田园、AI 种植、农业工厂，推进农产品电子化交易，大力推进农业数字化转型和农村数字经济发展。探索智慧交通、智慧社区、智慧物流、智慧零售等应用场景，打造服务业数字化转型示范区，赋能新型智慧城市建设。</w:t>
      </w:r>
    </w:p>
    <w:bookmarkEnd w:id="258"/>
    <w:p>
      <w:pPr>
        <w:pStyle w:val="4"/>
        <w:spacing w:before="156"/>
        <w:rPr>
          <w:highlight w:val="none"/>
        </w:rPr>
      </w:pPr>
      <w:r>
        <w:rPr>
          <w:highlight w:val="none"/>
        </w:rPr>
        <w:t>发展</w:t>
      </w:r>
      <w:r>
        <w:rPr>
          <w:rFonts w:hint="eastAsia"/>
          <w:highlight w:val="none"/>
        </w:rPr>
        <w:t>高端</w:t>
      </w:r>
      <w:r>
        <w:rPr>
          <w:highlight w:val="none"/>
        </w:rPr>
        <w:t>生活性服务业</w:t>
      </w:r>
    </w:p>
    <w:p>
      <w:pPr>
        <w:ind w:firstLine="562"/>
        <w:rPr>
          <w:highlight w:val="none"/>
        </w:rPr>
      </w:pPr>
      <w:r>
        <w:rPr>
          <w:rFonts w:hint="eastAsia"/>
          <w:b/>
          <w:bCs/>
          <w:highlight w:val="none"/>
        </w:rPr>
        <w:t>深化</w:t>
      </w:r>
      <w:r>
        <w:rPr>
          <w:b/>
          <w:bCs/>
          <w:highlight w:val="none"/>
        </w:rPr>
        <w:t>医养健康产业。</w:t>
      </w:r>
      <w:r>
        <w:rPr>
          <w:highlight w:val="none"/>
        </w:rPr>
        <w:t>以泰山健康谷为载体，着力培育壮大医养健康产业。依托海天智慧健康产业园项目，重点发展高端医疗设备研发制造产业。依托诺莱国际医学中心等项目，开展干细胞、免疫细胞的技术研究开发。推进泰山亲和源、泰安养心谷等项目建设。推进社区机构居家养老一体发展，深化</w:t>
      </w:r>
      <w:r>
        <w:rPr>
          <w:rFonts w:hint="eastAsia"/>
          <w:highlight w:val="none"/>
        </w:rPr>
        <w:t>“</w:t>
      </w:r>
      <w:r>
        <w:rPr>
          <w:highlight w:val="none"/>
        </w:rPr>
        <w:t>养老泰安·养生泰山</w:t>
      </w:r>
      <w:r>
        <w:rPr>
          <w:rFonts w:hint="eastAsia"/>
          <w:highlight w:val="none"/>
        </w:rPr>
        <w:t>”</w:t>
      </w:r>
      <w:r>
        <w:rPr>
          <w:highlight w:val="none"/>
        </w:rPr>
        <w:t>服务品牌。</w:t>
      </w:r>
    </w:p>
    <w:p>
      <w:pPr>
        <w:ind w:firstLine="562"/>
        <w:rPr>
          <w:highlight w:val="none"/>
        </w:rPr>
      </w:pPr>
      <w:r>
        <w:rPr>
          <w:b/>
          <w:bCs/>
          <w:highlight w:val="none"/>
        </w:rPr>
        <w:t>深入发展全域旅游。</w:t>
      </w:r>
      <w:r>
        <w:rPr>
          <w:highlight w:val="none"/>
        </w:rPr>
        <w:t>全方位实施</w:t>
      </w:r>
      <w:r>
        <w:rPr>
          <w:rFonts w:hint="eastAsia"/>
          <w:highlight w:val="none"/>
        </w:rPr>
        <w:t>“</w:t>
      </w:r>
      <w:r>
        <w:rPr>
          <w:highlight w:val="none"/>
        </w:rPr>
        <w:t>旅游+</w:t>
      </w:r>
      <w:r>
        <w:rPr>
          <w:rFonts w:hint="eastAsia"/>
          <w:highlight w:val="none"/>
        </w:rPr>
        <w:t>”</w:t>
      </w:r>
      <w:r>
        <w:rPr>
          <w:highlight w:val="none"/>
        </w:rPr>
        <w:t>发展战略，构建从景区到城区、散点到全域、观光到体验的全域旅游发展格局。扩大高质量、个性化旅游精品供给，完善旅游服务体系。打造平安泰山旅游目的地，推动旅游产品从观光型向深度体验型、休闲度假产品转变。打造全域旅游新名片，发展现代乡村旅游，打造环城市乡村旅游休憩带。</w:t>
      </w:r>
    </w:p>
    <w:p>
      <w:pPr>
        <w:ind w:firstLine="562"/>
        <w:rPr>
          <w:highlight w:val="none"/>
        </w:rPr>
      </w:pPr>
      <w:r>
        <w:rPr>
          <w:b/>
          <w:bCs/>
          <w:highlight w:val="none"/>
        </w:rPr>
        <w:t>推进商贸商务服务业发展。</w:t>
      </w:r>
      <w:r>
        <w:rPr>
          <w:highlight w:val="none"/>
        </w:rPr>
        <w:t>以发展大商贸、大市场、大流通为方向，增强商贸服务业竞争力。提升商务服务专业化、规模化、网络化水平，重视商务服务机构品牌和商誉培育，发展无形资产、信用等评估服务。发展特色经济，推进集历史文化、购物休闲、旅游商务等多元化特色街区建设。抓好泰汶城市广场、新城·吾悦广场、泰山碧霞湖文化等项目，实现三次产业、产城和产业内部不同行业的创新驱动。</w:t>
      </w:r>
    </w:p>
    <w:p>
      <w:pPr>
        <w:pStyle w:val="4"/>
        <w:spacing w:before="156"/>
        <w:rPr>
          <w:highlight w:val="none"/>
        </w:rPr>
      </w:pPr>
      <w:r>
        <w:rPr>
          <w:highlight w:val="none"/>
        </w:rPr>
        <w:t>高质量发展现代</w:t>
      </w:r>
      <w:r>
        <w:rPr>
          <w:rFonts w:hint="eastAsia"/>
          <w:highlight w:val="none"/>
        </w:rPr>
        <w:t>化</w:t>
      </w:r>
      <w:r>
        <w:rPr>
          <w:highlight w:val="none"/>
        </w:rPr>
        <w:t>工业</w:t>
      </w:r>
    </w:p>
    <w:p>
      <w:pPr>
        <w:ind w:firstLine="562"/>
        <w:rPr>
          <w:highlight w:val="none"/>
        </w:rPr>
      </w:pPr>
      <w:bookmarkStart w:id="259" w:name="_Toc17732"/>
      <w:r>
        <w:rPr>
          <w:b/>
          <w:bCs/>
          <w:highlight w:val="none"/>
        </w:rPr>
        <w:t>突出发展数字经济产业</w:t>
      </w:r>
      <w:bookmarkEnd w:id="259"/>
      <w:r>
        <w:rPr>
          <w:b/>
          <w:bCs/>
          <w:highlight w:val="none"/>
        </w:rPr>
        <w:t>。</w:t>
      </w:r>
      <w:r>
        <w:rPr>
          <w:highlight w:val="none"/>
        </w:rPr>
        <w:t>突出数字赋能，开展企业智能化改造提升、工业互联网平台体系培育、软件和信息技术赋能，推进制造业数字化转型升级。优化智能监测和自动化系统</w:t>
      </w:r>
      <w:r>
        <w:rPr>
          <w:rFonts w:hint="eastAsia"/>
          <w:highlight w:val="none"/>
        </w:rPr>
        <w:t>，</w:t>
      </w:r>
      <w:r>
        <w:rPr>
          <w:highlight w:val="none"/>
        </w:rPr>
        <w:t>依托思科赛德、科大中天等企业发展矿用综合监测监控装备、自动化通信设备、煤矿井下安全监控系统等产品，建立完整的智慧矿山产业体系。</w:t>
      </w:r>
      <w:r>
        <w:rPr>
          <w:b/>
          <w:bCs/>
          <w:highlight w:val="none"/>
        </w:rPr>
        <w:t>加快工业互联网平台体系建设。</w:t>
      </w:r>
      <w:r>
        <w:rPr>
          <w:highlight w:val="none"/>
        </w:rPr>
        <w:t>强化示范引领</w:t>
      </w:r>
      <w:r>
        <w:rPr>
          <w:rFonts w:hint="eastAsia"/>
          <w:highlight w:val="none"/>
        </w:rPr>
        <w:t>，</w:t>
      </w:r>
      <w:r>
        <w:rPr>
          <w:highlight w:val="none"/>
        </w:rPr>
        <w:t>支持行业龙头企业建设企业级工业互联网平台，推动工业互联网优秀应用场景在重点行业及典型场景的应用推广。</w:t>
      </w:r>
      <w:r>
        <w:rPr>
          <w:b/>
          <w:bCs/>
          <w:highlight w:val="none"/>
        </w:rPr>
        <w:t>促进工业软件和集成服务。</w:t>
      </w:r>
      <w:r>
        <w:rPr>
          <w:highlight w:val="none"/>
        </w:rPr>
        <w:t>依托泰山信息科技、蓝光软件、融通电子、大通前沿、东信智联等龙头企业，</w:t>
      </w:r>
      <w:r>
        <w:rPr>
          <w:rFonts w:hint="eastAsia"/>
          <w:highlight w:val="none"/>
        </w:rPr>
        <w:t>发挥</w:t>
      </w:r>
      <w:r>
        <w:rPr>
          <w:highlight w:val="none"/>
        </w:rPr>
        <w:t>大数据等技术在智能交通、电商、物流、医疗、教育、政务等领域的示范作用。</w:t>
      </w:r>
    </w:p>
    <w:p>
      <w:pPr>
        <w:ind w:firstLine="562"/>
        <w:rPr>
          <w:highlight w:val="none"/>
        </w:rPr>
      </w:pPr>
      <w:bookmarkStart w:id="260" w:name="_Toc32459"/>
      <w:r>
        <w:rPr>
          <w:b/>
          <w:bCs/>
          <w:highlight w:val="none"/>
        </w:rPr>
        <w:t>全面提升三大优势产业</w:t>
      </w:r>
      <w:bookmarkEnd w:id="260"/>
      <w:r>
        <w:rPr>
          <w:b/>
          <w:bCs/>
          <w:highlight w:val="none"/>
        </w:rPr>
        <w:t>。</w:t>
      </w:r>
      <w:r>
        <w:rPr>
          <w:highlight w:val="none"/>
        </w:rPr>
        <w:t>提升纺织服装、食品及酒类酿造、高端装备制造产业三大优势产业对泰山的支撑作用。</w:t>
      </w:r>
      <w:r>
        <w:rPr>
          <w:b/>
          <w:bCs/>
          <w:highlight w:val="none"/>
        </w:rPr>
        <w:t>提升纺织行业发展层次</w:t>
      </w:r>
      <w:r>
        <w:rPr>
          <w:rFonts w:hint="eastAsia"/>
          <w:highlight w:val="none"/>
        </w:rPr>
        <w:t>。</w:t>
      </w:r>
      <w:r>
        <w:rPr>
          <w:highlight w:val="none"/>
        </w:rPr>
        <w:t>加快新型纺织材料研发，推高以现代纺织数字化印染整设备为主的高端设备性能，加快纺织行业向高端化、品牌化方向转型。</w:t>
      </w:r>
      <w:r>
        <w:rPr>
          <w:b/>
          <w:bCs/>
          <w:highlight w:val="none"/>
        </w:rPr>
        <w:t>巩固食品及酒类酿造发展。</w:t>
      </w:r>
      <w:r>
        <w:rPr>
          <w:highlight w:val="none"/>
        </w:rPr>
        <w:t>以农副食品加工、酒饮料制造和液态轻工装备制造为主要产业链，加快建成全国最大的液态食品智能装备生产制造基地、免疫微生态制剂研发制造基地、原浆啤酒生产基地。</w:t>
      </w:r>
      <w:r>
        <w:rPr>
          <w:b/>
          <w:bCs/>
          <w:highlight w:val="none"/>
        </w:rPr>
        <w:t>壮大高端装备制造业。</w:t>
      </w:r>
      <w:r>
        <w:rPr>
          <w:highlight w:val="none"/>
        </w:rPr>
        <w:t>推进以印染装备、医疗装备、教育装备、轻工装备、输变电装备为核心的五大特色装备产品由低档向高档、由数字化向智能化、由单机向制造单元和成套设备转变，</w:t>
      </w:r>
      <w:r>
        <w:rPr>
          <w:rFonts w:hint="eastAsia"/>
          <w:highlight w:val="none"/>
        </w:rPr>
        <w:t>打造</w:t>
      </w:r>
      <w:r>
        <w:rPr>
          <w:highlight w:val="none"/>
        </w:rPr>
        <w:t>全国知名高端装备制造基地。</w:t>
      </w:r>
    </w:p>
    <w:p>
      <w:pPr>
        <w:pStyle w:val="4"/>
        <w:spacing w:before="156"/>
        <w:rPr>
          <w:highlight w:val="none"/>
        </w:rPr>
      </w:pPr>
      <w:r>
        <w:rPr>
          <w:highlight w:val="none"/>
        </w:rPr>
        <w:t>大力发展</w:t>
      </w:r>
      <w:r>
        <w:rPr>
          <w:rFonts w:hint="eastAsia"/>
          <w:highlight w:val="none"/>
        </w:rPr>
        <w:t>区域特色</w:t>
      </w:r>
      <w:r>
        <w:rPr>
          <w:highlight w:val="none"/>
        </w:rPr>
        <w:t>农业</w:t>
      </w:r>
    </w:p>
    <w:p>
      <w:pPr>
        <w:ind w:firstLine="562"/>
        <w:rPr>
          <w:highlight w:val="none"/>
        </w:rPr>
      </w:pPr>
      <w:r>
        <w:rPr>
          <w:b/>
          <w:bCs/>
          <w:highlight w:val="none"/>
        </w:rPr>
        <w:t>构建现代农业新格局。</w:t>
      </w:r>
      <w:r>
        <w:rPr>
          <w:rFonts w:hint="eastAsia"/>
          <w:highlight w:val="none"/>
        </w:rPr>
        <w:t>围绕“</w:t>
      </w:r>
      <w:r>
        <w:rPr>
          <w:highlight w:val="none"/>
        </w:rPr>
        <w:t>两园、两带、三片、四产</w:t>
      </w:r>
      <w:r>
        <w:rPr>
          <w:rFonts w:hint="eastAsia"/>
          <w:highlight w:val="none"/>
        </w:rPr>
        <w:t>”</w:t>
      </w:r>
      <w:r>
        <w:rPr>
          <w:highlight w:val="none"/>
        </w:rPr>
        <w:t>布局。两园：国家现代农业产业园和国家农业科技园区；两带：泰山环山路两侧和沿汶河休闲农业旅游观光带；三片：省庄镇北部山区泰山茶片区、邱家店镇东部苗木花卉片区、中部农业产业项目集聚片区；四产：泰山茶、苗木花卉、生态奶业、有机蔬菜四大特色主导产业。发展特色、休闲和近郊型农业，实现精品化、生态化、旅游化、效益化。</w:t>
      </w:r>
    </w:p>
    <w:p>
      <w:pPr>
        <w:ind w:firstLine="562"/>
        <w:rPr>
          <w:highlight w:val="none"/>
        </w:rPr>
      </w:pPr>
      <w:r>
        <w:rPr>
          <w:b/>
          <w:bCs/>
          <w:highlight w:val="none"/>
        </w:rPr>
        <w:t>壮大优势主导产业。</w:t>
      </w:r>
      <w:r>
        <w:rPr>
          <w:highlight w:val="none"/>
        </w:rPr>
        <w:t>加快发展高效特色农业。重点在小津口、刘家庄、叶家庄、安家庄等北部山区扩大泰山茶种植面积，建设泰山茶生态特色小镇，提升泰山茶知名度</w:t>
      </w:r>
      <w:r>
        <w:rPr>
          <w:rFonts w:hint="eastAsia"/>
          <w:highlight w:val="none"/>
        </w:rPr>
        <w:t>。</w:t>
      </w:r>
      <w:r>
        <w:rPr>
          <w:highlight w:val="none"/>
        </w:rPr>
        <w:t>抓好奶制品品牌提升喝奶源质量检测管控。对泰山国际花木城进行整体提升，形成国内苗木花卉生态产业孵化基地，打造集种植区、交易区、景观区</w:t>
      </w:r>
      <w:r>
        <w:rPr>
          <w:rFonts w:hint="eastAsia"/>
          <w:highlight w:val="none"/>
        </w:rPr>
        <w:t>“</w:t>
      </w:r>
      <w:r>
        <w:rPr>
          <w:highlight w:val="none"/>
        </w:rPr>
        <w:t>三区一体</w:t>
      </w:r>
      <w:r>
        <w:rPr>
          <w:rFonts w:hint="eastAsia"/>
          <w:highlight w:val="none"/>
        </w:rPr>
        <w:t>”</w:t>
      </w:r>
      <w:r>
        <w:rPr>
          <w:highlight w:val="none"/>
        </w:rPr>
        <w:t>的乡村景观园林。培育壮大有机蔬菜加工企业，集中建设一批科技示范基地。</w:t>
      </w:r>
    </w:p>
    <w:p>
      <w:pPr>
        <w:ind w:firstLine="562"/>
        <w:rPr>
          <w:rFonts w:cs="Times New Roman"/>
          <w:szCs w:val="24"/>
          <w:highlight w:val="none"/>
        </w:rPr>
      </w:pPr>
      <w:r>
        <w:rPr>
          <w:rFonts w:cs="Times New Roman"/>
          <w:b/>
          <w:szCs w:val="24"/>
          <w:highlight w:val="none"/>
        </w:rPr>
        <w:t>发展都市休闲农业。</w:t>
      </w:r>
      <w:r>
        <w:rPr>
          <w:rFonts w:cs="Times New Roman"/>
          <w:szCs w:val="24"/>
          <w:highlight w:val="none"/>
        </w:rPr>
        <w:t>围绕环泰城都市农业圈和沿汶河旅游发展带</w:t>
      </w:r>
      <w:r>
        <w:rPr>
          <w:rFonts w:hint="eastAsia" w:cs="Times New Roman"/>
          <w:szCs w:val="24"/>
          <w:highlight w:val="none"/>
        </w:rPr>
        <w:t>优势</w:t>
      </w:r>
      <w:r>
        <w:rPr>
          <w:rFonts w:cs="Times New Roman"/>
          <w:szCs w:val="24"/>
          <w:highlight w:val="none"/>
        </w:rPr>
        <w:t>，串点连片，实现生产型农业向都市休闲农业转变。</w:t>
      </w:r>
      <w:r>
        <w:rPr>
          <w:rFonts w:cs="Times New Roman"/>
          <w:b/>
          <w:szCs w:val="24"/>
          <w:highlight w:val="none"/>
        </w:rPr>
        <w:t>发展乡村休闲旅游。</w:t>
      </w:r>
      <w:r>
        <w:rPr>
          <w:rFonts w:cs="Times New Roman"/>
          <w:szCs w:val="24"/>
          <w:highlight w:val="none"/>
        </w:rPr>
        <w:t>重点打造白马石、省庄镇北部山区、汶水片区休闲旅游发展片区</w:t>
      </w:r>
      <w:r>
        <w:rPr>
          <w:rFonts w:hint="eastAsia" w:cs="Times New Roman"/>
          <w:szCs w:val="24"/>
          <w:highlight w:val="none"/>
        </w:rPr>
        <w:t>。</w:t>
      </w:r>
      <w:r>
        <w:rPr>
          <w:rFonts w:cs="Times New Roman"/>
          <w:szCs w:val="24"/>
          <w:highlight w:val="none"/>
        </w:rPr>
        <w:t>对中国埠阳庄张功渡、亓家滩等传统文化村落进一步挖掘、策划、打造。</w:t>
      </w:r>
      <w:r>
        <w:rPr>
          <w:rFonts w:hint="eastAsia" w:cs="Times New Roman"/>
          <w:b/>
          <w:szCs w:val="24"/>
          <w:highlight w:val="none"/>
        </w:rPr>
        <w:t>开发</w:t>
      </w:r>
      <w:r>
        <w:rPr>
          <w:rFonts w:cs="Times New Roman"/>
          <w:b/>
          <w:szCs w:val="24"/>
          <w:highlight w:val="none"/>
        </w:rPr>
        <w:t>精品旅游线路</w:t>
      </w:r>
      <w:r>
        <w:rPr>
          <w:rFonts w:cs="Times New Roman"/>
          <w:szCs w:val="24"/>
          <w:highlight w:val="none"/>
        </w:rPr>
        <w:t>。精心设计</w:t>
      </w:r>
      <w:r>
        <w:rPr>
          <w:rFonts w:hint="eastAsia" w:cs="Times New Roman"/>
          <w:szCs w:val="24"/>
          <w:highlight w:val="none"/>
        </w:rPr>
        <w:t>包括</w:t>
      </w:r>
      <w:r>
        <w:rPr>
          <w:rFonts w:cs="Times New Roman"/>
          <w:szCs w:val="24"/>
          <w:highlight w:val="none"/>
        </w:rPr>
        <w:t>旅游景区、特色村落、农业公园、休闲农业示范点、精品采摘园、农家乐等休闲活动场所，嫁接教育资源，串点连片，包装精品线路，推动休闲农业效益提升。</w:t>
      </w:r>
    </w:p>
    <w:p>
      <w:pPr>
        <w:pStyle w:val="3"/>
        <w:rPr>
          <w:b/>
          <w:bCs w:val="0"/>
          <w:highlight w:val="none"/>
        </w:rPr>
      </w:pPr>
      <w:bookmarkStart w:id="261" w:name="_Toc12716"/>
      <w:bookmarkStart w:id="262" w:name="_Toc10199"/>
      <w:bookmarkStart w:id="263" w:name="_Toc26556"/>
      <w:r>
        <w:rPr>
          <w:b/>
          <w:bCs w:val="0"/>
          <w:highlight w:val="none"/>
        </w:rPr>
        <w:t>加快能源结构调整</w:t>
      </w:r>
      <w:bookmarkEnd w:id="261"/>
      <w:bookmarkEnd w:id="262"/>
      <w:bookmarkEnd w:id="263"/>
    </w:p>
    <w:p>
      <w:pPr>
        <w:pStyle w:val="4"/>
        <w:spacing w:before="156"/>
        <w:rPr>
          <w:highlight w:val="none"/>
        </w:rPr>
      </w:pPr>
      <w:bookmarkStart w:id="264" w:name="_Hlk143809705"/>
      <w:r>
        <w:rPr>
          <w:rFonts w:hint="eastAsia"/>
          <w:highlight w:val="none"/>
        </w:rPr>
        <w:t>严格</w:t>
      </w:r>
      <w:r>
        <w:rPr>
          <w:highlight w:val="none"/>
        </w:rPr>
        <w:t>控制能源消耗</w:t>
      </w:r>
    </w:p>
    <w:p>
      <w:pPr>
        <w:ind w:firstLine="560"/>
        <w:rPr>
          <w:highlight w:val="none"/>
        </w:rPr>
      </w:pPr>
      <w:r>
        <w:rPr>
          <w:highlight w:val="none"/>
        </w:rPr>
        <w:t>提高高耗能、高污染行业准入标准，严格落实用能强度和总量</w:t>
      </w:r>
      <w:r>
        <w:rPr>
          <w:rFonts w:hint="eastAsia"/>
          <w:highlight w:val="none"/>
        </w:rPr>
        <w:t>“</w:t>
      </w:r>
      <w:r>
        <w:rPr>
          <w:highlight w:val="none"/>
        </w:rPr>
        <w:t>双控</w:t>
      </w:r>
      <w:r>
        <w:rPr>
          <w:rFonts w:hint="eastAsia"/>
          <w:highlight w:val="none"/>
        </w:rPr>
        <w:t>”</w:t>
      </w:r>
      <w:r>
        <w:rPr>
          <w:highlight w:val="none"/>
        </w:rPr>
        <w:t>制度。推动风</w:t>
      </w:r>
      <w:r>
        <w:rPr>
          <w:rFonts w:hint="eastAsia"/>
          <w:highlight w:val="none"/>
        </w:rPr>
        <w:t>力</w:t>
      </w:r>
      <w:r>
        <w:rPr>
          <w:highlight w:val="none"/>
        </w:rPr>
        <w:t>、光伏和生物质等可再生能源发展，提高可再生能源消纳比例。确保</w:t>
      </w:r>
      <w:r>
        <w:rPr>
          <w:rFonts w:hint="eastAsia"/>
          <w:highlight w:val="none"/>
        </w:rPr>
        <w:t>“</w:t>
      </w:r>
      <w:r>
        <w:rPr>
          <w:highlight w:val="none"/>
        </w:rPr>
        <w:t>两高</w:t>
      </w:r>
      <w:r>
        <w:rPr>
          <w:rFonts w:hint="eastAsia"/>
          <w:highlight w:val="none"/>
        </w:rPr>
        <w:t>”</w:t>
      </w:r>
      <w:r>
        <w:rPr>
          <w:highlight w:val="none"/>
        </w:rPr>
        <w:t>行业能耗只减不增，能耗总量只减不增。</w:t>
      </w:r>
    </w:p>
    <w:p>
      <w:pPr>
        <w:pStyle w:val="4"/>
        <w:spacing w:before="156"/>
        <w:rPr>
          <w:highlight w:val="none"/>
        </w:rPr>
      </w:pPr>
      <w:r>
        <w:rPr>
          <w:rFonts w:hint="eastAsia"/>
          <w:highlight w:val="none"/>
        </w:rPr>
        <w:t>提高行业能效水平</w:t>
      </w:r>
    </w:p>
    <w:p>
      <w:pPr>
        <w:ind w:firstLine="560"/>
        <w:rPr>
          <w:highlight w:val="none"/>
        </w:rPr>
      </w:pPr>
      <w:r>
        <w:rPr>
          <w:highlight w:val="none"/>
        </w:rPr>
        <w:t>引导工业企业实施新一轮技改，推广先进节能技术，提高传统行业能效水平。引导能耗要素向新一代信息技术、新材料、新能源和节能环保、高端装备和智能制造、医养健康等新动能项目聚焦。围绕泰安市下达的能源结构调整目标，聚焦可再生能源板块，加快清洁能源开发利用。坚持太阳能发电与热利用并重，扩大太阳能利用规模。</w:t>
      </w:r>
    </w:p>
    <w:bookmarkEnd w:id="264"/>
    <w:p>
      <w:pPr>
        <w:pStyle w:val="3"/>
        <w:rPr>
          <w:b/>
          <w:bCs w:val="0"/>
          <w:highlight w:val="none"/>
        </w:rPr>
      </w:pPr>
      <w:bookmarkStart w:id="265" w:name="_Toc2252"/>
      <w:bookmarkStart w:id="266" w:name="_Toc30562"/>
      <w:bookmarkStart w:id="267" w:name="_Toc16531"/>
      <w:r>
        <w:rPr>
          <w:b/>
          <w:bCs w:val="0"/>
          <w:highlight w:val="none"/>
        </w:rPr>
        <w:t>加速运输结构调整</w:t>
      </w:r>
      <w:bookmarkEnd w:id="265"/>
      <w:bookmarkEnd w:id="266"/>
      <w:bookmarkEnd w:id="267"/>
    </w:p>
    <w:p>
      <w:pPr>
        <w:pStyle w:val="4"/>
        <w:spacing w:before="156"/>
        <w:rPr>
          <w:highlight w:val="none"/>
        </w:rPr>
      </w:pPr>
      <w:r>
        <w:rPr>
          <w:highlight w:val="none"/>
        </w:rPr>
        <w:t>优化交通</w:t>
      </w:r>
      <w:r>
        <w:rPr>
          <w:rFonts w:hint="eastAsia"/>
          <w:highlight w:val="none"/>
        </w:rPr>
        <w:t>运输</w:t>
      </w:r>
      <w:r>
        <w:rPr>
          <w:highlight w:val="none"/>
        </w:rPr>
        <w:t>能源结构</w:t>
      </w:r>
    </w:p>
    <w:p>
      <w:pPr>
        <w:ind w:firstLine="560"/>
        <w:rPr>
          <w:highlight w:val="none"/>
        </w:rPr>
      </w:pPr>
      <w:r>
        <w:rPr>
          <w:highlight w:val="none"/>
        </w:rPr>
        <w:t>推进城市公共交通、出租、物流等领域新能源车的推广应用。推进新能源充电设施建设，满足充电需求。推进营运车辆污染治理。加快淘汰高耗能、高排放的营运车辆，采取强制注销、鼓励淘汰、资金补贴、区域禁行等措施，推进国三及以下营运柴油货车提前淘汰更新。</w:t>
      </w:r>
      <w:r>
        <w:rPr>
          <w:rFonts w:hint="eastAsia"/>
          <w:highlight w:val="none"/>
        </w:rPr>
        <w:t>提升综合货运运输效能。巩固提升铁路货物周转量，保持公路运输比例由增转降趋势。初步形成大宗货物和集装箱中长距离运输以铁路或管道为主的格局。</w:t>
      </w:r>
    </w:p>
    <w:p>
      <w:pPr>
        <w:pStyle w:val="4"/>
        <w:spacing w:before="156"/>
        <w:rPr>
          <w:highlight w:val="none"/>
        </w:rPr>
      </w:pPr>
      <w:r>
        <w:rPr>
          <w:rFonts w:hint="eastAsia"/>
          <w:highlight w:val="none"/>
        </w:rPr>
        <w:t>完善绿色</w:t>
      </w:r>
      <w:r>
        <w:rPr>
          <w:highlight w:val="none"/>
        </w:rPr>
        <w:t>交通基础设施</w:t>
      </w:r>
    </w:p>
    <w:p>
      <w:pPr>
        <w:ind w:firstLine="560"/>
        <w:rPr>
          <w:highlight w:val="none"/>
        </w:rPr>
      </w:pPr>
      <w:r>
        <w:rPr>
          <w:highlight w:val="none"/>
        </w:rPr>
        <w:t>加快交通基础设施建设，合理避让永久基本农田、自然保护地、林地、湿地等具有重要生态功能的国土空间。新建工程落实道路绿化、亮化工程，已建工程实施路域绿化提升及林带养护工程。</w:t>
      </w:r>
    </w:p>
    <w:p>
      <w:pPr>
        <w:pStyle w:val="3"/>
        <w:rPr>
          <w:b/>
          <w:bCs w:val="0"/>
          <w:highlight w:val="none"/>
        </w:rPr>
      </w:pPr>
      <w:bookmarkStart w:id="268" w:name="_Toc7218"/>
      <w:bookmarkStart w:id="269" w:name="_Toc29391"/>
      <w:bookmarkStart w:id="270" w:name="_Toc4348"/>
      <w:r>
        <w:rPr>
          <w:b/>
          <w:bCs w:val="0"/>
          <w:highlight w:val="none"/>
        </w:rPr>
        <w:t>推动行业清洁化生产</w:t>
      </w:r>
      <w:bookmarkEnd w:id="268"/>
      <w:bookmarkEnd w:id="269"/>
      <w:bookmarkEnd w:id="270"/>
    </w:p>
    <w:p>
      <w:pPr>
        <w:pStyle w:val="4"/>
        <w:spacing w:before="156"/>
        <w:rPr>
          <w:highlight w:val="none"/>
        </w:rPr>
      </w:pPr>
      <w:r>
        <w:rPr>
          <w:highlight w:val="none"/>
        </w:rPr>
        <w:t>严格落实</w:t>
      </w:r>
      <w:r>
        <w:rPr>
          <w:rFonts w:hint="eastAsia"/>
          <w:highlight w:val="none"/>
        </w:rPr>
        <w:t>重点行业</w:t>
      </w:r>
      <w:r>
        <w:rPr>
          <w:highlight w:val="none"/>
        </w:rPr>
        <w:t>清洁生产审核</w:t>
      </w:r>
    </w:p>
    <w:p>
      <w:pPr>
        <w:ind w:firstLine="560"/>
        <w:rPr>
          <w:highlight w:val="none"/>
        </w:rPr>
      </w:pPr>
      <w:r>
        <w:rPr>
          <w:highlight w:val="none"/>
        </w:rPr>
        <w:t>结合泰安市和泰山区节能要求和环境质量改善需求，以能源</w:t>
      </w:r>
      <w:r>
        <w:rPr>
          <w:rFonts w:hint="eastAsia"/>
          <w:highlight w:val="none"/>
        </w:rPr>
        <w:t>、</w:t>
      </w:r>
      <w:r>
        <w:rPr>
          <w:highlight w:val="none"/>
        </w:rPr>
        <w:t>化工、印染、造纸、原料药、农副食品加工、包装印刷等行业为清洁生产审核重点，落实</w:t>
      </w:r>
      <w:r>
        <w:rPr>
          <w:rFonts w:hint="eastAsia"/>
          <w:highlight w:val="none"/>
        </w:rPr>
        <w:t>将</w:t>
      </w:r>
      <w:r>
        <w:rPr>
          <w:highlight w:val="none"/>
        </w:rPr>
        <w:t>强制性清洁生产审核要求纳入节能降耗、污染防治等行动计划，加大对清洁生产审核工作情况的日常监督和检查力度，开展行业清洁生产水平和绩效整体评估。</w:t>
      </w:r>
    </w:p>
    <w:p>
      <w:pPr>
        <w:pStyle w:val="4"/>
        <w:spacing w:before="156"/>
        <w:rPr>
          <w:highlight w:val="none"/>
        </w:rPr>
      </w:pPr>
      <w:r>
        <w:rPr>
          <w:rFonts w:hint="eastAsia"/>
          <w:highlight w:val="none"/>
        </w:rPr>
        <w:t>大力推动</w:t>
      </w:r>
      <w:r>
        <w:rPr>
          <w:highlight w:val="none"/>
        </w:rPr>
        <w:t>清洁化改造</w:t>
      </w:r>
      <w:r>
        <w:rPr>
          <w:rFonts w:hint="eastAsia"/>
          <w:highlight w:val="none"/>
        </w:rPr>
        <w:t>产业链延伸</w:t>
      </w:r>
    </w:p>
    <w:p>
      <w:pPr>
        <w:ind w:firstLine="560"/>
        <w:rPr>
          <w:highlight w:val="none"/>
        </w:rPr>
      </w:pPr>
      <w:r>
        <w:rPr>
          <w:highlight w:val="none"/>
        </w:rPr>
        <w:t>按照</w:t>
      </w:r>
      <w:r>
        <w:rPr>
          <w:rFonts w:hint="eastAsia"/>
          <w:highlight w:val="none"/>
        </w:rPr>
        <w:t>“</w:t>
      </w:r>
      <w:r>
        <w:rPr>
          <w:highlight w:val="none"/>
        </w:rPr>
        <w:t>横向耦合、纵向延伸、循环链接</w:t>
      </w:r>
      <w:r>
        <w:rPr>
          <w:rFonts w:hint="eastAsia"/>
          <w:highlight w:val="none"/>
        </w:rPr>
        <w:t>”</w:t>
      </w:r>
      <w:r>
        <w:rPr>
          <w:highlight w:val="none"/>
        </w:rPr>
        <w:t>原则，实行产业链招商、补链招商，合理延伸产业链，实现项目间、企业间、产业间首尾相连、环环相扣、物料闭路循环，促进原料投入和废物排放减量化、资源化</w:t>
      </w:r>
      <w:r>
        <w:rPr>
          <w:rFonts w:hint="eastAsia"/>
          <w:highlight w:val="none"/>
        </w:rPr>
        <w:t>、</w:t>
      </w:r>
      <w:r>
        <w:rPr>
          <w:highlight w:val="none"/>
        </w:rPr>
        <w:t>无害化。按照循环经济减量化优先的原则，推行清洁生产源头减量；开发能源资源清洁高效利用技术，开展清洁能源替代改造，提高可再生能源利用比例；推动余热余压利用、废物交换利用和水循环利用。</w:t>
      </w:r>
    </w:p>
    <w:p>
      <w:pPr>
        <w:pStyle w:val="4"/>
        <w:spacing w:before="156"/>
        <w:rPr>
          <w:highlight w:val="none"/>
        </w:rPr>
      </w:pPr>
      <w:r>
        <w:rPr>
          <w:rFonts w:hint="eastAsia"/>
          <w:highlight w:val="none"/>
        </w:rPr>
        <w:t>发挥</w:t>
      </w:r>
      <w:r>
        <w:rPr>
          <w:highlight w:val="none"/>
        </w:rPr>
        <w:t>企业清洁</w:t>
      </w:r>
      <w:r>
        <w:rPr>
          <w:rFonts w:hint="eastAsia"/>
          <w:highlight w:val="none"/>
        </w:rPr>
        <w:t>生产</w:t>
      </w:r>
      <w:r>
        <w:rPr>
          <w:highlight w:val="none"/>
        </w:rPr>
        <w:t>示范</w:t>
      </w:r>
      <w:r>
        <w:rPr>
          <w:rFonts w:hint="eastAsia"/>
          <w:highlight w:val="none"/>
        </w:rPr>
        <w:t>带动作用</w:t>
      </w:r>
    </w:p>
    <w:p>
      <w:pPr>
        <w:ind w:firstLine="560"/>
        <w:rPr>
          <w:highlight w:val="none"/>
        </w:rPr>
      </w:pPr>
      <w:r>
        <w:rPr>
          <w:highlight w:val="none"/>
        </w:rPr>
        <w:t>发挥大型企业示范带动作用，组织开展创建清洁生产先进企业活动，推广先进经验。对于清洁生产审核达到国内同行业领先水平或国际较先进水平的企业进行宣传推广，给予一定政策鼓励。以清洁生产审核为抓手，推动重点行业的清洁化和循环化发展。</w:t>
      </w:r>
    </w:p>
    <w:p>
      <w:pPr>
        <w:pStyle w:val="3"/>
        <w:rPr>
          <w:b/>
          <w:bCs w:val="0"/>
          <w:highlight w:val="none"/>
        </w:rPr>
      </w:pPr>
      <w:bookmarkStart w:id="271" w:name="_Toc8298"/>
      <w:bookmarkStart w:id="272" w:name="_Toc6588"/>
      <w:bookmarkStart w:id="273" w:name="_Toc8165"/>
      <w:r>
        <w:rPr>
          <w:b/>
          <w:bCs w:val="0"/>
          <w:highlight w:val="none"/>
        </w:rPr>
        <w:t>提升园区循环化改造</w:t>
      </w:r>
      <w:bookmarkEnd w:id="271"/>
      <w:bookmarkEnd w:id="272"/>
      <w:bookmarkEnd w:id="273"/>
    </w:p>
    <w:p>
      <w:pPr>
        <w:pStyle w:val="4"/>
        <w:spacing w:before="156"/>
        <w:rPr>
          <w:highlight w:val="none"/>
        </w:rPr>
      </w:pPr>
      <w:r>
        <w:rPr>
          <w:highlight w:val="none"/>
        </w:rPr>
        <w:t>推进园区</w:t>
      </w:r>
      <w:r>
        <w:rPr>
          <w:rFonts w:hint="eastAsia"/>
          <w:highlight w:val="none"/>
        </w:rPr>
        <w:t>集约管理</w:t>
      </w:r>
      <w:r>
        <w:rPr>
          <w:highlight w:val="none"/>
        </w:rPr>
        <w:t>提质增效</w:t>
      </w:r>
    </w:p>
    <w:p>
      <w:pPr>
        <w:ind w:firstLine="560"/>
        <w:rPr>
          <w:highlight w:val="none"/>
        </w:rPr>
      </w:pPr>
      <w:r>
        <w:rPr>
          <w:rFonts w:hint="eastAsia"/>
          <w:highlight w:val="none"/>
        </w:rPr>
        <w:t>推动</w:t>
      </w:r>
      <w:r>
        <w:rPr>
          <w:highlight w:val="none"/>
        </w:rPr>
        <w:t>泰山经开区、省庄镇及邱家店镇新兴工业区园区错位发展。健全重点工业项目评估转入机制，在存量空间上探索推行</w:t>
      </w:r>
      <w:r>
        <w:rPr>
          <w:rFonts w:hint="eastAsia"/>
          <w:highlight w:val="none"/>
        </w:rPr>
        <w:t>“</w:t>
      </w:r>
      <w:r>
        <w:rPr>
          <w:highlight w:val="none"/>
        </w:rPr>
        <w:t>一区多园、一园一业</w:t>
      </w:r>
      <w:r>
        <w:rPr>
          <w:rFonts w:hint="eastAsia"/>
          <w:highlight w:val="none"/>
        </w:rPr>
        <w:t>”</w:t>
      </w:r>
      <w:r>
        <w:rPr>
          <w:highlight w:val="none"/>
        </w:rPr>
        <w:t>发展，积极探索</w:t>
      </w:r>
      <w:r>
        <w:rPr>
          <w:rFonts w:hint="eastAsia"/>
          <w:highlight w:val="none"/>
        </w:rPr>
        <w:t>“</w:t>
      </w:r>
      <w:r>
        <w:rPr>
          <w:highlight w:val="none"/>
        </w:rPr>
        <w:t>工业上楼</w:t>
      </w:r>
      <w:r>
        <w:rPr>
          <w:rFonts w:hint="eastAsia"/>
          <w:highlight w:val="none"/>
        </w:rPr>
        <w:t>”</w:t>
      </w:r>
      <w:r>
        <w:rPr>
          <w:highlight w:val="none"/>
        </w:rPr>
        <w:t>新模式，建设高质量标准厂房，提高土地节约集约利用水平，构建</w:t>
      </w:r>
      <w:r>
        <w:rPr>
          <w:rFonts w:hint="eastAsia"/>
          <w:highlight w:val="none"/>
        </w:rPr>
        <w:t>“</w:t>
      </w:r>
      <w:r>
        <w:rPr>
          <w:highlight w:val="none"/>
        </w:rPr>
        <w:t>都市型工业</w:t>
      </w:r>
      <w:r>
        <w:rPr>
          <w:rFonts w:hint="eastAsia"/>
          <w:highlight w:val="none"/>
        </w:rPr>
        <w:t>”</w:t>
      </w:r>
      <w:r>
        <w:rPr>
          <w:highlight w:val="none"/>
        </w:rPr>
        <w:t>新业态，让存量土地实现效益倍增。在增量空间上建设一批战略性新兴产业</w:t>
      </w:r>
      <w:r>
        <w:rPr>
          <w:rFonts w:hint="eastAsia"/>
          <w:highlight w:val="none"/>
        </w:rPr>
        <w:t>“</w:t>
      </w:r>
      <w:r>
        <w:rPr>
          <w:highlight w:val="none"/>
        </w:rPr>
        <w:t>园中园</w:t>
      </w:r>
      <w:r>
        <w:rPr>
          <w:rFonts w:hint="eastAsia"/>
          <w:highlight w:val="none"/>
        </w:rPr>
        <w:t>”</w:t>
      </w:r>
      <w:r>
        <w:rPr>
          <w:highlight w:val="none"/>
        </w:rPr>
        <w:t>和</w:t>
      </w:r>
      <w:r>
        <w:rPr>
          <w:rFonts w:hint="eastAsia"/>
          <w:highlight w:val="none"/>
        </w:rPr>
        <w:t>“</w:t>
      </w:r>
      <w:r>
        <w:rPr>
          <w:highlight w:val="none"/>
        </w:rPr>
        <w:t>区中区</w:t>
      </w:r>
      <w:r>
        <w:rPr>
          <w:rFonts w:hint="eastAsia"/>
          <w:highlight w:val="none"/>
        </w:rPr>
        <w:t>”</w:t>
      </w:r>
      <w:r>
        <w:rPr>
          <w:highlight w:val="none"/>
        </w:rPr>
        <w:t>，继续推进开发区（园区）管理体制、运作模式和考核制度改革，打造一批产业集聚、创新集成、投资集约的发展平台。</w:t>
      </w:r>
    </w:p>
    <w:p>
      <w:pPr>
        <w:pStyle w:val="4"/>
        <w:spacing w:before="156"/>
        <w:rPr>
          <w:highlight w:val="none"/>
        </w:rPr>
      </w:pPr>
      <w:r>
        <w:rPr>
          <w:highlight w:val="none"/>
        </w:rPr>
        <w:t>培育</w:t>
      </w:r>
      <w:r>
        <w:rPr>
          <w:rFonts w:hint="eastAsia"/>
          <w:highlight w:val="none"/>
        </w:rPr>
        <w:t>特色</w:t>
      </w:r>
      <w:r>
        <w:rPr>
          <w:highlight w:val="none"/>
        </w:rPr>
        <w:t>优势产业链</w:t>
      </w:r>
      <w:r>
        <w:rPr>
          <w:rFonts w:hint="eastAsia"/>
          <w:highlight w:val="none"/>
        </w:rPr>
        <w:t>新引擎</w:t>
      </w:r>
    </w:p>
    <w:p>
      <w:pPr>
        <w:ind w:firstLine="560"/>
        <w:rPr>
          <w:highlight w:val="none"/>
        </w:rPr>
      </w:pPr>
      <w:r>
        <w:rPr>
          <w:highlight w:val="none"/>
        </w:rPr>
        <w:t>以产业发展规划为引导，加快建设工业经济产业联盟，</w:t>
      </w:r>
      <w:r>
        <w:rPr>
          <w:rFonts w:hint="eastAsia"/>
          <w:highlight w:val="none"/>
        </w:rPr>
        <w:t>以</w:t>
      </w:r>
      <w:r>
        <w:rPr>
          <w:highlight w:val="none"/>
        </w:rPr>
        <w:t>大规模龙头企业为核心</w:t>
      </w:r>
      <w:r>
        <w:rPr>
          <w:rFonts w:hint="eastAsia"/>
          <w:highlight w:val="none"/>
        </w:rPr>
        <w:t>，</w:t>
      </w:r>
      <w:r>
        <w:rPr>
          <w:highlight w:val="none"/>
        </w:rPr>
        <w:t>延伸、完善产业链</w:t>
      </w:r>
      <w:r>
        <w:rPr>
          <w:rFonts w:hint="eastAsia"/>
          <w:highlight w:val="none"/>
        </w:rPr>
        <w:t>，</w:t>
      </w:r>
      <w:r>
        <w:rPr>
          <w:highlight w:val="none"/>
        </w:rPr>
        <w:t>推进产业链上下游企业协同发展，提高核心竞争力。推进食品加工、机械制造、输变电产业</w:t>
      </w:r>
      <w:r>
        <w:rPr>
          <w:rFonts w:hint="eastAsia"/>
          <w:highlight w:val="none"/>
        </w:rPr>
        <w:t>等</w:t>
      </w:r>
      <w:r>
        <w:rPr>
          <w:highlight w:val="none"/>
        </w:rPr>
        <w:t>重点传统产业向研发、营销两端延伸发展。加快培育、整合聚集汽车相关配套产业链。重点支持高端装备和智能制造领域骨干企业实施技术改造和创新，推进对新材料、医药健康、新一代信息技术产业战略新兴产业进行关键环节补链、延链、强链，打造区域经济竞争新优势。</w:t>
      </w:r>
    </w:p>
    <w:p>
      <w:pPr>
        <w:pStyle w:val="4"/>
        <w:spacing w:before="156"/>
        <w:rPr>
          <w:highlight w:val="none"/>
        </w:rPr>
      </w:pPr>
      <w:r>
        <w:rPr>
          <w:highlight w:val="none"/>
        </w:rPr>
        <w:t>推进产业聚集区</w:t>
      </w:r>
      <w:r>
        <w:rPr>
          <w:rFonts w:hint="eastAsia"/>
          <w:highlight w:val="none"/>
        </w:rPr>
        <w:t>集群化</w:t>
      </w:r>
      <w:r>
        <w:rPr>
          <w:highlight w:val="none"/>
        </w:rPr>
        <w:t>建设</w:t>
      </w:r>
    </w:p>
    <w:p>
      <w:pPr>
        <w:ind w:firstLine="560"/>
        <w:rPr>
          <w:highlight w:val="none"/>
        </w:rPr>
      </w:pPr>
      <w:r>
        <w:rPr>
          <w:highlight w:val="none"/>
        </w:rPr>
        <w:t>不断完善科技服务、物流服务、电子商务、信息咨询、金融保险、中介服务等公共服务，为产业集群发展提供强有力</w:t>
      </w:r>
      <w:r>
        <w:rPr>
          <w:rFonts w:hint="eastAsia"/>
          <w:highlight w:val="none"/>
        </w:rPr>
        <w:t>的</w:t>
      </w:r>
      <w:r>
        <w:rPr>
          <w:highlight w:val="none"/>
        </w:rPr>
        <w:t>软环境保障。利用高端装备与智能制造、生物医药、新材料、汽车零部件、输变电等行业龙头企业的辐射带动作用，吸引产业链上下游企业聚集发展。建立健全项目落地机制，围绕</w:t>
      </w:r>
      <w:r>
        <w:rPr>
          <w:rFonts w:hint="eastAsia"/>
          <w:highlight w:val="none"/>
        </w:rPr>
        <w:t>“</w:t>
      </w:r>
      <w:r>
        <w:rPr>
          <w:highlight w:val="none"/>
        </w:rPr>
        <w:t>一核两翼</w:t>
      </w:r>
      <w:r>
        <w:rPr>
          <w:rFonts w:hint="eastAsia"/>
          <w:highlight w:val="none"/>
        </w:rPr>
        <w:t>”</w:t>
      </w:r>
      <w:r>
        <w:rPr>
          <w:highlight w:val="none"/>
        </w:rPr>
        <w:t>的工业空间格局，实施一批对产业集群有明显带动效应的重大项目。通过大项目带动产业链，项目聚集形成集群，推动优势产业集聚发展。积极开展产业链招商，主动承接济南及长三角的产业转移，壮大产业规模，完善产业集群。</w:t>
      </w:r>
    </w:p>
    <w:bookmarkEnd w:id="254"/>
    <w:p>
      <w:pPr>
        <w:numPr>
          <w:ilvl w:val="0"/>
          <w:numId w:val="1"/>
        </w:numPr>
        <w:ind w:firstLineChars="0"/>
        <w:rPr>
          <w:highlight w:val="none"/>
        </w:rPr>
      </w:pPr>
      <w:bookmarkStart w:id="274" w:name="_Toc4935"/>
      <w:bookmarkStart w:id="275" w:name="_Toc12795"/>
      <w:bookmarkStart w:id="276" w:name="_Toc143041452"/>
      <w:r>
        <w:rPr>
          <w:highlight w:val="none"/>
        </w:rPr>
        <w:br w:type="page"/>
      </w:r>
    </w:p>
    <w:p>
      <w:pPr>
        <w:pStyle w:val="2"/>
        <w:numPr>
          <w:ilvl w:val="0"/>
          <w:numId w:val="0"/>
        </w:numPr>
        <w:ind w:leftChars="0"/>
        <w:rPr>
          <w:highlight w:val="none"/>
        </w:rPr>
      </w:pPr>
      <w:bookmarkStart w:id="277" w:name="_Toc31919"/>
      <w:r>
        <w:rPr>
          <w:rFonts w:hint="eastAsia"/>
          <w:highlight w:val="none"/>
          <w:lang w:eastAsia="zh-CN"/>
        </w:rPr>
        <w:t>第八章</w:t>
      </w:r>
      <w:r>
        <w:rPr>
          <w:rFonts w:hint="eastAsia"/>
          <w:highlight w:val="none"/>
          <w:lang w:val="en-US" w:eastAsia="zh-CN"/>
        </w:rPr>
        <w:t xml:space="preserve"> </w:t>
      </w:r>
      <w:r>
        <w:rPr>
          <w:highlight w:val="none"/>
        </w:rPr>
        <w:t>生态生活体系建设规划</w:t>
      </w:r>
      <w:bookmarkEnd w:id="274"/>
      <w:bookmarkEnd w:id="275"/>
      <w:bookmarkEnd w:id="276"/>
      <w:bookmarkEnd w:id="277"/>
    </w:p>
    <w:p>
      <w:pPr>
        <w:pStyle w:val="3"/>
        <w:rPr>
          <w:b/>
          <w:bCs w:val="0"/>
          <w:highlight w:val="none"/>
        </w:rPr>
      </w:pPr>
      <w:bookmarkStart w:id="278" w:name="_Toc12"/>
      <w:bookmarkStart w:id="279" w:name="_Toc9766"/>
      <w:bookmarkStart w:id="280" w:name="_Toc143041453"/>
      <w:bookmarkStart w:id="281" w:name="_Toc23666"/>
      <w:bookmarkStart w:id="282" w:name="_Toc501010674"/>
      <w:r>
        <w:rPr>
          <w:rFonts w:hint="eastAsia"/>
          <w:b/>
          <w:bCs w:val="0"/>
          <w:highlight w:val="none"/>
        </w:rPr>
        <w:t>推进</w:t>
      </w:r>
      <w:r>
        <w:rPr>
          <w:b/>
          <w:bCs w:val="0"/>
          <w:highlight w:val="none"/>
        </w:rPr>
        <w:t>城乡环境一体化建设</w:t>
      </w:r>
      <w:bookmarkEnd w:id="278"/>
      <w:bookmarkEnd w:id="279"/>
      <w:bookmarkEnd w:id="280"/>
      <w:bookmarkEnd w:id="281"/>
    </w:p>
    <w:p>
      <w:pPr>
        <w:pStyle w:val="4"/>
        <w:spacing w:before="156"/>
        <w:rPr>
          <w:highlight w:val="none"/>
        </w:rPr>
      </w:pPr>
      <w:r>
        <w:rPr>
          <w:rFonts w:hint="eastAsia"/>
          <w:highlight w:val="none"/>
        </w:rPr>
        <w:t>打造</w:t>
      </w:r>
      <w:bookmarkEnd w:id="282"/>
      <w:r>
        <w:rPr>
          <w:rFonts w:hint="eastAsia"/>
          <w:highlight w:val="none"/>
        </w:rPr>
        <w:t>绿色低碳交通</w:t>
      </w:r>
    </w:p>
    <w:p>
      <w:pPr>
        <w:ind w:firstLine="560"/>
        <w:rPr>
          <w:highlight w:val="none"/>
        </w:rPr>
      </w:pPr>
      <w:r>
        <w:rPr>
          <w:rFonts w:hint="eastAsia"/>
          <w:highlight w:val="none"/>
        </w:rPr>
        <w:t>打造节能环保、绿色高效的交通保障体系，推进交通基础设施绿色提升工程。优化调整运输结构，加强运输装备排放控制，强化交通领域污染防治刚性约束。持续打造绿色铁路、公路，逐步推进普通国省道沿线充电站（桩）设施建设，形成城际快充网络。提升绿色公路建设运营水平，提高铁路运营中可再生资源利用占比。打造智慧引领、科技创新的智慧交通。</w:t>
      </w:r>
      <w:r>
        <w:rPr>
          <w:highlight w:val="none"/>
        </w:rPr>
        <w:t>构建绿色循环低碳可持续发展的交通运输体系</w:t>
      </w:r>
      <w:r>
        <w:rPr>
          <w:rFonts w:hint="eastAsia"/>
          <w:highlight w:val="none"/>
        </w:rPr>
        <w:t>。</w:t>
      </w:r>
    </w:p>
    <w:p>
      <w:pPr>
        <w:pStyle w:val="4"/>
        <w:spacing w:before="156"/>
        <w:rPr>
          <w:highlight w:val="none"/>
        </w:rPr>
      </w:pPr>
      <w:r>
        <w:rPr>
          <w:rFonts w:hint="eastAsia"/>
          <w:highlight w:val="none"/>
        </w:rPr>
        <w:t>保障水源水质安全</w:t>
      </w:r>
    </w:p>
    <w:p>
      <w:pPr>
        <w:ind w:firstLine="560"/>
        <w:rPr>
          <w:highlight w:val="none"/>
        </w:rPr>
      </w:pPr>
      <w:r>
        <w:rPr>
          <w:rFonts w:hint="eastAsia"/>
          <w:highlight w:val="none"/>
        </w:rPr>
        <w:t>巩固饮用水源地规范化管理。逐步建立水源地周边一定范围内主要污染源和污染物排放清单，实施“一水源地一档案”。开展饮用水水源地环境保护规范化建设，完成饮用水水源地保护区标志设置与保护，保障取水口水质安全。开展农村饮用水水源地环境调查和评估工作，完善水源地规范化建设与综合整治，全面排查梳理农村“千吨万人”水源保护区内环境问题，逐步清理整治。加强饮用水水源水质监测，强化从水源到水龙头全过程监管。</w:t>
      </w:r>
    </w:p>
    <w:p>
      <w:pPr>
        <w:pStyle w:val="4"/>
        <w:spacing w:before="156"/>
        <w:rPr>
          <w:highlight w:val="none"/>
        </w:rPr>
      </w:pPr>
      <w:r>
        <w:rPr>
          <w:rFonts w:hint="eastAsia"/>
          <w:highlight w:val="none"/>
        </w:rPr>
        <w:t>积极推进污水治理</w:t>
      </w:r>
    </w:p>
    <w:p>
      <w:pPr>
        <w:ind w:firstLine="562"/>
        <w:rPr>
          <w:highlight w:val="none"/>
        </w:rPr>
      </w:pPr>
      <w:r>
        <w:rPr>
          <w:rFonts w:hint="eastAsia"/>
          <w:b/>
          <w:bCs/>
          <w:highlight w:val="none"/>
        </w:rPr>
        <w:t>提升城镇生活污水处理能力</w:t>
      </w:r>
      <w:r>
        <w:rPr>
          <w:rFonts w:hint="eastAsia"/>
          <w:highlight w:val="none"/>
        </w:rPr>
        <w:t>。补齐城镇污水收集管网短板。对影响地表水体达标的重点区域，完善截污纳管、雨污分流、厂网协调、排涝顺畅的大排水体系；按照“污水一张网”要求，开展全面排查并有序推进雨污分流改造，加快消除收集管网空白区，因地制宜建设分散式污水收集处理设施。依托泰山区城区河道清淤整治项目，对七里河、泮河、梳洗河、唐王河、双龙河、明堂河等城区河道进行清淤；推进泰山区市政设施维修提升项目，修复双龙河东支流（双龙河与紫欣园路交汇处至双龙河东西支流交汇处）段污水管道。</w:t>
      </w:r>
    </w:p>
    <w:p>
      <w:pPr>
        <w:ind w:firstLine="562"/>
        <w:rPr>
          <w:highlight w:val="none"/>
        </w:rPr>
      </w:pPr>
      <w:r>
        <w:rPr>
          <w:rFonts w:hint="eastAsia"/>
          <w:b/>
          <w:bCs/>
          <w:highlight w:val="none"/>
        </w:rPr>
        <w:t>提升污水厂处理能力</w:t>
      </w:r>
      <w:r>
        <w:rPr>
          <w:rFonts w:hint="eastAsia"/>
          <w:highlight w:val="none"/>
        </w:rPr>
        <w:t>。按照厂网协调、统筹规划、合理布局的原则，新建、改建、扩建和升级污水处理厂。</w:t>
      </w:r>
      <w:bookmarkStart w:id="283" w:name="_Hlk54618778"/>
      <w:r>
        <w:rPr>
          <w:rFonts w:hint="eastAsia"/>
          <w:highlight w:val="none"/>
        </w:rPr>
        <w:t>统筹污水处理及再生水利用设施建设，扩大再生水管网覆盖范围。</w:t>
      </w:r>
      <w:bookmarkEnd w:id="283"/>
      <w:r>
        <w:rPr>
          <w:rFonts w:hint="eastAsia"/>
          <w:highlight w:val="none"/>
        </w:rPr>
        <w:t>对进水浓度明显偏低的污水处理厂开展收水范围内管网排查和系统化整治。污水处理厂出水用于绿化、农灌等用途的，确保达到相应污水再生利用标准。完善农村污水处理设施，农村新型社区实现污水处理设施全覆盖和稳定达标运行。</w:t>
      </w:r>
    </w:p>
    <w:p>
      <w:pPr>
        <w:ind w:firstLine="562"/>
        <w:rPr>
          <w:highlight w:val="none"/>
        </w:rPr>
      </w:pPr>
      <w:r>
        <w:rPr>
          <w:rFonts w:hint="eastAsia"/>
          <w:b/>
          <w:bCs/>
          <w:highlight w:val="none"/>
        </w:rPr>
        <w:t>持续增强排污监管</w:t>
      </w:r>
      <w:r>
        <w:rPr>
          <w:rFonts w:hint="eastAsia"/>
          <w:highlight w:val="none"/>
        </w:rPr>
        <w:t>。增强执法力量的投入，重点对雨水管道排污、排污超标、向河道内排污和新建排污口等行为开展监管，确保全区污水排放得到有效控制。巩固城市黑臭水体治理成效，建立防止反黑反臭的长效机制。引导农户规范排放生活污水，清除生活污水直排溢流问题。以房前屋后河塘沟渠、排水沟等为重点，清理水域漂浮物，有条件的实施清淤疏浚，采取综合措施恢复水生态。</w:t>
      </w:r>
    </w:p>
    <w:p>
      <w:pPr>
        <w:pStyle w:val="4"/>
        <w:spacing w:before="156"/>
        <w:rPr>
          <w:highlight w:val="none"/>
        </w:rPr>
      </w:pPr>
      <w:bookmarkStart w:id="284" w:name="_Toc68590478"/>
      <w:r>
        <w:rPr>
          <w:rFonts w:hint="eastAsia"/>
          <w:highlight w:val="none"/>
        </w:rPr>
        <w:t>不断完善水资源保障</w:t>
      </w:r>
    </w:p>
    <w:p>
      <w:pPr>
        <w:ind w:firstLine="560"/>
        <w:rPr>
          <w:highlight w:val="none"/>
        </w:rPr>
      </w:pPr>
      <w:r>
        <w:rPr>
          <w:rFonts w:hint="eastAsia"/>
          <w:highlight w:val="none"/>
        </w:rPr>
        <w:t>实行最严格水资源管理制度，开展深度节水控水行动。严格计划用水监督管理，实施高耗水行业用水定额管理，引导洗浴、洗车、游泳馆、洗涤、宾馆等行业使用低耗水、循环用水等节水技术、设备和工艺。充分利用已建污水处理厂、人工湿地，做好污水处理厂尾水的深度净化工作，污水处理厂尾水经人工湿地净化后，部分用于城区绿化或农田灌溉，其余尾水排入河流作为河流补水，维持河流生态基流。</w:t>
      </w:r>
    </w:p>
    <w:p>
      <w:pPr>
        <w:pStyle w:val="3"/>
        <w:rPr>
          <w:b/>
          <w:bCs w:val="0"/>
          <w:highlight w:val="none"/>
        </w:rPr>
      </w:pPr>
      <w:bookmarkStart w:id="285" w:name="_Toc143041454"/>
      <w:bookmarkStart w:id="286" w:name="_Toc20408"/>
      <w:bookmarkStart w:id="287" w:name="_Toc25270"/>
      <w:bookmarkStart w:id="288" w:name="_Toc13623"/>
      <w:r>
        <w:rPr>
          <w:rFonts w:hint="eastAsia"/>
          <w:b/>
          <w:bCs w:val="0"/>
          <w:highlight w:val="none"/>
        </w:rPr>
        <w:t>促进人居环境再优化</w:t>
      </w:r>
      <w:bookmarkEnd w:id="284"/>
      <w:bookmarkEnd w:id="285"/>
      <w:bookmarkEnd w:id="286"/>
      <w:bookmarkEnd w:id="287"/>
      <w:bookmarkEnd w:id="288"/>
    </w:p>
    <w:p>
      <w:pPr>
        <w:pStyle w:val="4"/>
        <w:spacing w:before="156"/>
        <w:rPr>
          <w:highlight w:val="none"/>
        </w:rPr>
      </w:pPr>
      <w:r>
        <w:rPr>
          <w:rFonts w:hint="eastAsia"/>
          <w:highlight w:val="none"/>
        </w:rPr>
        <w:t>推进公共服务管理</w:t>
      </w:r>
    </w:p>
    <w:p>
      <w:pPr>
        <w:ind w:firstLine="560"/>
        <w:rPr>
          <w:highlight w:val="none"/>
        </w:rPr>
      </w:pPr>
      <w:r>
        <w:rPr>
          <w:highlight w:val="none"/>
        </w:rPr>
        <w:t>加强专项社会管理服务。持续推进社区治理创新纵深发展，完善</w:t>
      </w:r>
      <w:r>
        <w:rPr>
          <w:rFonts w:hint="eastAsia"/>
          <w:highlight w:val="none"/>
        </w:rPr>
        <w:t>“</w:t>
      </w:r>
      <w:r>
        <w:rPr>
          <w:highlight w:val="none"/>
        </w:rPr>
        <w:t>网格+</w:t>
      </w:r>
      <w:r>
        <w:rPr>
          <w:rFonts w:hint="eastAsia"/>
          <w:highlight w:val="none"/>
        </w:rPr>
        <w:t>”</w:t>
      </w:r>
      <w:r>
        <w:rPr>
          <w:highlight w:val="none"/>
        </w:rPr>
        <w:t>城市管理机制，实现与街道城管指挥调度平台深度融合。不断扩大智慧泰山、慈善泰山、康养泰山等服务品牌影响力，争创全省城市和谐社区建设示范城区。</w:t>
      </w:r>
      <w:r>
        <w:rPr>
          <w:rFonts w:hint="eastAsia"/>
          <w:highlight w:val="none"/>
        </w:rPr>
        <w:t>依托国际文化大数据（泰山）产业城推进大型云数据中心建设，推进智慧城市试点建设，支持政府、行业、企业、个人大数据整合与应用，打造泰山区数据集聚地，形成支持智慧政务、旅游、康养、物流、医疗、交通等领域的数据存储、计算、传输等业务的基础能力，提升协同治理能力与公共服务管理水平。</w:t>
      </w:r>
    </w:p>
    <w:p>
      <w:pPr>
        <w:pStyle w:val="4"/>
        <w:spacing w:before="156"/>
        <w:rPr>
          <w:highlight w:val="none"/>
        </w:rPr>
      </w:pPr>
      <w:r>
        <w:rPr>
          <w:rFonts w:hint="eastAsia"/>
          <w:highlight w:val="none"/>
        </w:rPr>
        <w:t>大幅优化绿化系统</w:t>
      </w:r>
    </w:p>
    <w:p>
      <w:pPr>
        <w:ind w:firstLine="560"/>
        <w:rPr>
          <w:highlight w:val="none"/>
        </w:rPr>
      </w:pPr>
      <w:r>
        <w:rPr>
          <w:rFonts w:hint="eastAsia"/>
          <w:highlight w:val="none"/>
        </w:rPr>
        <w:t>构建“横纵结合，绿带相连”的生态绿地网络结构，合理配置公园、社区和道路绿地，将城市组团融合在整个绿色网络之中。有计划、有步骤地修复被破坏的河道、湿地、植被和土壤。推进主城区林荫道建设与改造工程，补植景观树种，合理搭配常绿与落叶树种，打造高大成荫、季相多彩的绿道景观，行道树中间栽植低矮灌木，宽阔地带采用两排行道树格局。社区中采用垂直绿化，旧城改造中见缝插绿，提高城市绿量，优化人居环境。以泰山为核心，以各大公园为节点，打造区内绿色景观走廊，成为居民休闲游憩的载体。</w:t>
      </w:r>
    </w:p>
    <w:p>
      <w:pPr>
        <w:pStyle w:val="4"/>
        <w:spacing w:before="156"/>
        <w:rPr>
          <w:highlight w:val="none"/>
        </w:rPr>
      </w:pPr>
      <w:r>
        <w:rPr>
          <w:rFonts w:hint="eastAsia"/>
          <w:highlight w:val="none"/>
        </w:rPr>
        <w:t>提升人居环境品质</w:t>
      </w:r>
    </w:p>
    <w:p>
      <w:pPr>
        <w:ind w:firstLine="560"/>
        <w:rPr>
          <w:highlight w:val="none"/>
        </w:rPr>
      </w:pPr>
      <w:r>
        <w:rPr>
          <w:rFonts w:hint="eastAsia"/>
          <w:highlight w:val="none"/>
        </w:rPr>
        <w:t>着力攻坚老城区城中村、城边村改造，配齐配好教育、文化、体育、医疗、养老、商服等公共设施，提升城市服务功能和城镇化水平，全力打赢城中村改造攻坚战。优化全区医疗卫生设施空间布局，健全农村医疗服务网络，形成“小病在社区、大病到医院、康复回社区”的就医格局。推进“互联网+医疗健康”发展，实现基本公共卫生服务均等化。完善重大疫情防控体制机制，健全公共卫生应急管理体系。继续严格监管新建和改造建筑，建立绿色建筑建设全过程管理制度。</w:t>
      </w:r>
    </w:p>
    <w:p>
      <w:pPr>
        <w:pStyle w:val="4"/>
        <w:spacing w:before="156"/>
        <w:rPr>
          <w:highlight w:val="none"/>
        </w:rPr>
      </w:pPr>
      <w:r>
        <w:rPr>
          <w:rFonts w:hint="eastAsia"/>
          <w:highlight w:val="none"/>
        </w:rPr>
        <w:t>提高绿色建筑水平</w:t>
      </w:r>
    </w:p>
    <w:p>
      <w:pPr>
        <w:ind w:firstLine="560"/>
        <w:rPr>
          <w:highlight w:val="none"/>
        </w:rPr>
      </w:pPr>
      <w:r>
        <w:rPr>
          <w:rFonts w:hint="eastAsia"/>
          <w:highlight w:val="none"/>
        </w:rPr>
        <w:t>统筹考虑建筑寿命、功能和节地、节能、节水、节材、环境保护之间的辩证关系，采用促进建筑与可持续发展的建筑形式、技术、设备和材料，探索墙体、门窗节能，雨水回收利用、建材节约利用等技术措施，努力实现人、建筑与自然和谐共生。新建建筑全面执行绿色建筑设计标准。新建、改建、扩建的保障性住房、学校、医院、文化体育旅游项目必须严格按绿色建筑的标准进行规划、建设和运营管理。加强绿色建筑节能宣传工作，不断提高绿色建筑的社会认知度。</w:t>
      </w:r>
    </w:p>
    <w:p>
      <w:pPr>
        <w:pStyle w:val="3"/>
        <w:rPr>
          <w:b/>
          <w:bCs w:val="0"/>
          <w:highlight w:val="none"/>
        </w:rPr>
      </w:pPr>
      <w:bookmarkStart w:id="289" w:name="_Toc143041455"/>
      <w:bookmarkStart w:id="290" w:name="_Toc68590479"/>
      <w:bookmarkStart w:id="291" w:name="_Toc1907"/>
      <w:bookmarkStart w:id="292" w:name="_Toc19045"/>
      <w:bookmarkStart w:id="293" w:name="_Toc142"/>
      <w:r>
        <w:rPr>
          <w:rFonts w:hint="eastAsia"/>
          <w:b/>
          <w:bCs w:val="0"/>
          <w:highlight w:val="none"/>
        </w:rPr>
        <w:t>加快振兴</w:t>
      </w:r>
      <w:r>
        <w:rPr>
          <w:b/>
          <w:bCs w:val="0"/>
          <w:highlight w:val="none"/>
        </w:rPr>
        <w:t>美丽乡村</w:t>
      </w:r>
      <w:bookmarkEnd w:id="289"/>
      <w:bookmarkEnd w:id="290"/>
      <w:bookmarkEnd w:id="291"/>
      <w:bookmarkEnd w:id="292"/>
      <w:bookmarkEnd w:id="293"/>
    </w:p>
    <w:p>
      <w:pPr>
        <w:pStyle w:val="4"/>
        <w:spacing w:before="156"/>
        <w:rPr>
          <w:highlight w:val="none"/>
        </w:rPr>
      </w:pPr>
      <w:r>
        <w:rPr>
          <w:rFonts w:hint="eastAsia"/>
          <w:highlight w:val="none"/>
        </w:rPr>
        <w:t>推进乡村产业振兴</w:t>
      </w:r>
    </w:p>
    <w:p>
      <w:pPr>
        <w:ind w:firstLine="562"/>
        <w:rPr>
          <w:highlight w:val="none"/>
        </w:rPr>
      </w:pPr>
      <w:r>
        <w:rPr>
          <w:b/>
          <w:bCs/>
          <w:highlight w:val="none"/>
        </w:rPr>
        <w:t>提升农业综合生产能力。</w:t>
      </w:r>
      <w:r>
        <w:rPr>
          <w:highlight w:val="none"/>
        </w:rPr>
        <w:t>构建现代农业新格局。鼓励农业生产经营主体参与无公害农产品、绿色食品、有机食品、农产品地理标志</w:t>
      </w:r>
      <w:r>
        <w:rPr>
          <w:rFonts w:hint="eastAsia"/>
          <w:highlight w:val="none"/>
        </w:rPr>
        <w:t>“</w:t>
      </w:r>
      <w:r>
        <w:rPr>
          <w:highlight w:val="none"/>
        </w:rPr>
        <w:t>三品一标</w:t>
      </w:r>
      <w:r>
        <w:rPr>
          <w:rFonts w:hint="eastAsia"/>
          <w:highlight w:val="none"/>
        </w:rPr>
        <w:t>”</w:t>
      </w:r>
      <w:r>
        <w:rPr>
          <w:highlight w:val="none"/>
        </w:rPr>
        <w:t>认证，全力推进区域公用品牌建设和企业产品品牌建设</w:t>
      </w:r>
      <w:r>
        <w:rPr>
          <w:rFonts w:hint="eastAsia"/>
          <w:highlight w:val="none"/>
        </w:rPr>
        <w:t>。</w:t>
      </w:r>
      <w:r>
        <w:rPr>
          <w:b/>
          <w:bCs/>
          <w:highlight w:val="none"/>
        </w:rPr>
        <w:t>以乡村旅游为主导，推进一二三产业融合。</w:t>
      </w:r>
      <w:r>
        <w:rPr>
          <w:highlight w:val="none"/>
        </w:rPr>
        <w:t>统筹推进终端型、体验型、智慧型和循环型农业发展，积极打造泰山环山路两侧和沿汶河两个休闲农业旅游观光带。围绕省庄镇北部山区丰富的乡村旅游资源，依托大河峪村、安家庄村、亓家滩村、刘家庄村、小津口村5个省级旅游特色村，重点打造民俗、民宿、果品采摘、文化体验、户外拓展、女儿茶艺、房车营地等旅游产品；在省庄镇北部沿环山路两侧打造涵盖茶文化体验、采摘、垂钓、科普、休闲、观光、康养等内容为主的综合生态休闲养生区。</w:t>
      </w:r>
      <w:r>
        <w:rPr>
          <w:b/>
          <w:bCs/>
          <w:highlight w:val="none"/>
        </w:rPr>
        <w:t>加快发展智慧农业。</w:t>
      </w:r>
      <w:r>
        <w:rPr>
          <w:highlight w:val="none"/>
        </w:rPr>
        <w:t>实施</w:t>
      </w:r>
      <w:r>
        <w:rPr>
          <w:rFonts w:hint="eastAsia"/>
          <w:highlight w:val="none"/>
        </w:rPr>
        <w:t>“</w:t>
      </w:r>
      <w:r>
        <w:rPr>
          <w:highlight w:val="none"/>
        </w:rPr>
        <w:t>互联网+现代农业</w:t>
      </w:r>
      <w:r>
        <w:rPr>
          <w:rFonts w:hint="eastAsia"/>
          <w:highlight w:val="none"/>
        </w:rPr>
        <w:t>”</w:t>
      </w:r>
      <w:r>
        <w:rPr>
          <w:highlight w:val="none"/>
        </w:rPr>
        <w:t>行动，大力发展农产品电子商务，推动农产品上行，支持特色电商镇、电商村和农村电商服务企业发展。</w:t>
      </w:r>
    </w:p>
    <w:p>
      <w:pPr>
        <w:pStyle w:val="4"/>
        <w:spacing w:before="156"/>
        <w:rPr>
          <w:highlight w:val="none"/>
        </w:rPr>
      </w:pPr>
      <w:r>
        <w:rPr>
          <w:rFonts w:hint="eastAsia"/>
          <w:highlight w:val="none"/>
        </w:rPr>
        <w:t>加快农村公路升级</w:t>
      </w:r>
    </w:p>
    <w:p>
      <w:pPr>
        <w:ind w:firstLine="560"/>
        <w:rPr>
          <w:highlight w:val="none"/>
        </w:rPr>
      </w:pPr>
      <w:r>
        <w:rPr>
          <w:rFonts w:hint="eastAsia"/>
          <w:highlight w:val="none"/>
        </w:rPr>
        <w:t>建立农村公路和村内道路管理养护长效机制，巩固农村“七改”“四好农村路”和农村道路“三通”建设成果。</w:t>
      </w:r>
      <w:r>
        <w:rPr>
          <w:highlight w:val="none"/>
        </w:rPr>
        <w:t>加快农村公路提档升级，打造</w:t>
      </w:r>
      <w:r>
        <w:rPr>
          <w:rFonts w:hint="eastAsia"/>
          <w:highlight w:val="none"/>
        </w:rPr>
        <w:t>“</w:t>
      </w:r>
      <w:r>
        <w:rPr>
          <w:highlight w:val="none"/>
        </w:rPr>
        <w:t>四好农村路</w:t>
      </w:r>
      <w:r>
        <w:rPr>
          <w:rFonts w:hint="eastAsia"/>
          <w:highlight w:val="none"/>
        </w:rPr>
        <w:t>”</w:t>
      </w:r>
      <w:r>
        <w:rPr>
          <w:highlight w:val="none"/>
        </w:rPr>
        <w:t>乡村振兴齐鲁样板。重点加快县乡道升级改造步伐，进一步提高农村公路通达深度和通畅水平。完善既有农村公路的安全、排水、绿化等配套设施建设。日常养护与预防养护并重，统筹新改建和大中修项目库动态管理，提升公路预防养护实施水平。</w:t>
      </w:r>
    </w:p>
    <w:p>
      <w:pPr>
        <w:pStyle w:val="4"/>
        <w:spacing w:before="156"/>
        <w:rPr>
          <w:highlight w:val="none"/>
        </w:rPr>
      </w:pPr>
      <w:r>
        <w:rPr>
          <w:rFonts w:hint="eastAsia"/>
          <w:highlight w:val="none"/>
        </w:rPr>
        <w:t>推动农村美化绿化</w:t>
      </w:r>
    </w:p>
    <w:p>
      <w:pPr>
        <w:ind w:firstLine="560"/>
        <w:rPr>
          <w:highlight w:val="none"/>
        </w:rPr>
      </w:pPr>
      <w:r>
        <w:rPr>
          <w:rFonts w:hint="eastAsia"/>
          <w:highlight w:val="none"/>
        </w:rPr>
        <w:t>推动乡村绿色生态发展。加大村庄绿化力度，大力实施“绿满泰山区”行动，集中抓好城区绿色空间、森林生态廊道、森林镇村创建、河湖湿地景观林等生态绿化工程建设，打造种养结合、生态循环、环境优美的田园生态系统。深化美丽村居建设，以安家庄、王林坡等省级试点村为中心，形成多片宜居宜业宜游的“鲁派民居”建筑群落。分类推进村庄建设，打造一批乡村建设示范点、示范村，形成“一村一品、一村一景”美丽乡村新格局。在特色保护类中，重点做好岳家庄等民族村、文化村的保护和提升工作。打造特色美丽村庄。</w:t>
      </w:r>
    </w:p>
    <w:p>
      <w:pPr>
        <w:pStyle w:val="4"/>
        <w:spacing w:before="156"/>
        <w:rPr>
          <w:highlight w:val="none"/>
        </w:rPr>
      </w:pPr>
      <w:r>
        <w:rPr>
          <w:rFonts w:hint="eastAsia"/>
          <w:highlight w:val="none"/>
        </w:rPr>
        <w:t>倡导乡村文化繁荣</w:t>
      </w:r>
    </w:p>
    <w:p>
      <w:pPr>
        <w:ind w:firstLine="560"/>
        <w:rPr>
          <w:highlight w:val="none"/>
        </w:rPr>
      </w:pPr>
      <w:r>
        <w:rPr>
          <w:highlight w:val="none"/>
        </w:rPr>
        <w:t>推进</w:t>
      </w:r>
      <w:r>
        <w:rPr>
          <w:rFonts w:hint="eastAsia"/>
          <w:highlight w:val="none"/>
        </w:rPr>
        <w:t>“</w:t>
      </w:r>
      <w:r>
        <w:rPr>
          <w:highlight w:val="none"/>
        </w:rPr>
        <w:t>互联网+基层党建</w:t>
      </w:r>
      <w:r>
        <w:rPr>
          <w:rFonts w:hint="eastAsia"/>
          <w:highlight w:val="none"/>
        </w:rPr>
        <w:t>”和</w:t>
      </w:r>
      <w:r>
        <w:rPr>
          <w:highlight w:val="none"/>
        </w:rPr>
        <w:t>农村</w:t>
      </w:r>
      <w:r>
        <w:rPr>
          <w:rFonts w:hint="eastAsia"/>
          <w:highlight w:val="none"/>
        </w:rPr>
        <w:t>“</w:t>
      </w:r>
      <w:r>
        <w:rPr>
          <w:highlight w:val="none"/>
        </w:rPr>
        <w:t>雪亮工程</w:t>
      </w:r>
      <w:r>
        <w:rPr>
          <w:rFonts w:hint="eastAsia"/>
          <w:highlight w:val="none"/>
        </w:rPr>
        <w:t>”</w:t>
      </w:r>
      <w:r>
        <w:rPr>
          <w:highlight w:val="none"/>
        </w:rPr>
        <w:t>。加强资源整合推进文化惠民服务，提高农村公共文化产品和服务水平，打造城乡一体化发展的公共文化服务。丰富农民群众文化生活，加快推进</w:t>
      </w:r>
      <w:r>
        <w:rPr>
          <w:rFonts w:hint="eastAsia"/>
          <w:highlight w:val="none"/>
        </w:rPr>
        <w:t>“</w:t>
      </w:r>
      <w:r>
        <w:rPr>
          <w:highlight w:val="none"/>
        </w:rPr>
        <w:t>书香乡村</w:t>
      </w:r>
      <w:r>
        <w:rPr>
          <w:rFonts w:hint="eastAsia"/>
          <w:highlight w:val="none"/>
        </w:rPr>
        <w:t>”</w:t>
      </w:r>
      <w:r>
        <w:rPr>
          <w:highlight w:val="none"/>
        </w:rPr>
        <w:t>建设，组织农民读书节、读书月和</w:t>
      </w:r>
      <w:r>
        <w:rPr>
          <w:rFonts w:hint="eastAsia"/>
          <w:highlight w:val="none"/>
        </w:rPr>
        <w:t>“</w:t>
      </w:r>
      <w:r>
        <w:rPr>
          <w:highlight w:val="none"/>
        </w:rPr>
        <w:t>三农</w:t>
      </w:r>
      <w:r>
        <w:rPr>
          <w:rFonts w:hint="eastAsia"/>
          <w:highlight w:val="none"/>
        </w:rPr>
        <w:t>”</w:t>
      </w:r>
      <w:r>
        <w:rPr>
          <w:highlight w:val="none"/>
        </w:rPr>
        <w:t>主题书展、书市、大讲堂等活动。全面完成乡村两级公共文化服务设施建设，建成资源充足、设备齐全、服务规范、保障有力、群众满意度较高的现代公共文化服务体系。传承工匠精神</w:t>
      </w:r>
      <w:r>
        <w:rPr>
          <w:rFonts w:hint="eastAsia"/>
          <w:highlight w:val="none"/>
        </w:rPr>
        <w:t>，</w:t>
      </w:r>
      <w:r>
        <w:rPr>
          <w:highlight w:val="none"/>
        </w:rPr>
        <w:t>实施乡村工艺振兴计划，整合各类文化资源和非遗项目，梳理建立传统工艺振兴目录，注重传统工艺成果转化，推动传统工艺与旅游市场相结合，打造文化创意品牌。</w:t>
      </w:r>
    </w:p>
    <w:p>
      <w:pPr>
        <w:pStyle w:val="3"/>
        <w:rPr>
          <w:b/>
          <w:bCs w:val="0"/>
          <w:highlight w:val="none"/>
        </w:rPr>
      </w:pPr>
      <w:bookmarkStart w:id="294" w:name="_Toc17202"/>
      <w:bookmarkStart w:id="295" w:name="_Toc68590480"/>
      <w:bookmarkStart w:id="296" w:name="_Toc14860"/>
      <w:bookmarkStart w:id="297" w:name="_Toc23137"/>
      <w:bookmarkStart w:id="298" w:name="_Toc143041456"/>
      <w:r>
        <w:rPr>
          <w:rFonts w:hint="eastAsia"/>
          <w:b/>
          <w:bCs w:val="0"/>
          <w:highlight w:val="none"/>
        </w:rPr>
        <w:t>倡导绿色生活方式</w:t>
      </w:r>
      <w:bookmarkEnd w:id="294"/>
      <w:bookmarkEnd w:id="295"/>
      <w:bookmarkEnd w:id="296"/>
      <w:bookmarkEnd w:id="297"/>
      <w:bookmarkEnd w:id="298"/>
    </w:p>
    <w:p>
      <w:pPr>
        <w:pStyle w:val="4"/>
        <w:spacing w:before="156"/>
        <w:rPr>
          <w:highlight w:val="none"/>
        </w:rPr>
      </w:pPr>
      <w:r>
        <w:rPr>
          <w:rFonts w:hint="eastAsia"/>
          <w:highlight w:val="none"/>
        </w:rPr>
        <w:t>鼓励居民绿色出行</w:t>
      </w:r>
    </w:p>
    <w:p>
      <w:pPr>
        <w:ind w:firstLine="560"/>
        <w:rPr>
          <w:highlight w:val="none"/>
        </w:rPr>
      </w:pPr>
      <w:r>
        <w:rPr>
          <w:rFonts w:hint="eastAsia"/>
          <w:highlight w:val="none"/>
        </w:rPr>
        <w:t>深入实施公交优先战略，推广绿色低碳公交。优先在中心城区及交通密集区形成连续、成网的公交专用道，推动多种交通方式的融合衔接和便利换乘。加强城市慢行系统建设，完善共享交通工具布局，加快构建以轨道交通为骨干、常规公交为主体、出租汽车为补充、慢行系统为延伸的公共交通服务网络。不断提高公共交通服务效率，提高居民的绿色出行比例。鼓励市民践行绿色生活方式，倡导公共交通、、清洁能源汽车自行车和步行出行。扩大宣教，让绿色出行成为新风尚。</w:t>
      </w:r>
    </w:p>
    <w:p>
      <w:pPr>
        <w:pStyle w:val="4"/>
        <w:spacing w:before="156"/>
        <w:rPr>
          <w:highlight w:val="none"/>
        </w:rPr>
      </w:pPr>
      <w:r>
        <w:rPr>
          <w:rFonts w:hint="eastAsia"/>
          <w:highlight w:val="none"/>
        </w:rPr>
        <w:t>推进垃圾分类行动</w:t>
      </w:r>
    </w:p>
    <w:p>
      <w:pPr>
        <w:ind w:firstLine="560"/>
        <w:rPr>
          <w:highlight w:val="none"/>
        </w:rPr>
      </w:pPr>
      <w:r>
        <w:rPr>
          <w:rFonts w:hint="eastAsia"/>
          <w:highlight w:val="none"/>
        </w:rPr>
        <w:t>引导居民进行生活垃圾分类，分类后其他垃圾送至生活垃圾焚烧厂进行无害化处理，可回收物进行回收再利用，有害垃圾按要求统一清运。优化配套农村生活垃圾分类收运体系，合理配备保洁员数量。推进城乡垃圾源头减量化和资源化利用。引导居民减少餐厨垃圾。倡导节俭用餐新风尚，对餐厨浪费行为予以处罚或征收餐厨垃圾处理费。</w:t>
      </w:r>
    </w:p>
    <w:p>
      <w:pPr>
        <w:pStyle w:val="4"/>
        <w:spacing w:before="156"/>
        <w:rPr>
          <w:highlight w:val="none"/>
        </w:rPr>
      </w:pPr>
      <w:r>
        <w:rPr>
          <w:rFonts w:hint="eastAsia"/>
          <w:highlight w:val="none"/>
        </w:rPr>
        <w:t>加强政府绿色采购</w:t>
      </w:r>
    </w:p>
    <w:p>
      <w:pPr>
        <w:ind w:firstLine="560"/>
        <w:rPr>
          <w:highlight w:val="none"/>
        </w:rPr>
        <w:sectPr>
          <w:pgSz w:w="11906" w:h="16838"/>
          <w:pgMar w:top="1440" w:right="1800" w:bottom="1440" w:left="1800" w:header="851" w:footer="992" w:gutter="0"/>
          <w:cols w:space="425" w:num="1"/>
          <w:docGrid w:type="lines" w:linePitch="312" w:charSpace="0"/>
        </w:sectPr>
      </w:pPr>
      <w:r>
        <w:rPr>
          <w:rFonts w:hint="eastAsia"/>
          <w:highlight w:val="none"/>
        </w:rPr>
        <w:t>全面推行绿色办公。提高办公设备和资产使用效率。推进信息系统建设和数据共享，积极推行无纸化办公。在性能、技术、服务等指标同等条件下，优先采购有节能标志的产品，优先采购经生态设计或通过环境标志认证的产品。完善绿色采购制度。加快制定具有泰山区特色的政府绿色采购办法，明确绿色采购清单和禁止采购清单，健全标准体系和执行机制。用节约资源的消费理念引导消费方式变革，形成崇尚节俭、科学消费和绿色消费的消费理念和生活方式。</w:t>
      </w:r>
    </w:p>
    <w:p>
      <w:pPr>
        <w:pStyle w:val="2"/>
        <w:rPr>
          <w:highlight w:val="none"/>
        </w:rPr>
      </w:pPr>
      <w:bookmarkStart w:id="299" w:name="_Toc143041457"/>
      <w:bookmarkStart w:id="300" w:name="_Toc7609"/>
      <w:bookmarkStart w:id="301" w:name="_Toc14288"/>
      <w:bookmarkStart w:id="302" w:name="_Toc10630"/>
      <w:r>
        <w:rPr>
          <w:highlight w:val="none"/>
        </w:rPr>
        <w:t>生态文化体系建设规划</w:t>
      </w:r>
      <w:bookmarkEnd w:id="299"/>
      <w:bookmarkEnd w:id="300"/>
      <w:bookmarkEnd w:id="301"/>
      <w:bookmarkEnd w:id="302"/>
    </w:p>
    <w:p>
      <w:pPr>
        <w:pStyle w:val="3"/>
        <w:rPr>
          <w:b/>
          <w:bCs w:val="0"/>
          <w:highlight w:val="none"/>
        </w:rPr>
      </w:pPr>
      <w:bookmarkStart w:id="303" w:name="_Toc13689"/>
      <w:bookmarkStart w:id="304" w:name="_Toc143041458"/>
      <w:bookmarkStart w:id="305" w:name="_Toc18492"/>
      <w:bookmarkStart w:id="306" w:name="_Toc3853"/>
      <w:bookmarkStart w:id="307" w:name="_Toc20100"/>
      <w:r>
        <w:rPr>
          <w:rFonts w:hint="eastAsia"/>
          <w:b/>
          <w:bCs w:val="0"/>
          <w:highlight w:val="none"/>
        </w:rPr>
        <w:t>推动生态文化载体建设</w:t>
      </w:r>
      <w:bookmarkEnd w:id="303"/>
      <w:bookmarkEnd w:id="304"/>
      <w:bookmarkEnd w:id="305"/>
      <w:bookmarkEnd w:id="306"/>
    </w:p>
    <w:p>
      <w:pPr>
        <w:pStyle w:val="4"/>
        <w:spacing w:before="156"/>
        <w:rPr>
          <w:highlight w:val="none"/>
        </w:rPr>
      </w:pPr>
      <w:r>
        <w:rPr>
          <w:rFonts w:hint="eastAsia"/>
          <w:highlight w:val="none"/>
        </w:rPr>
        <w:t>加强</w:t>
      </w:r>
      <w:r>
        <w:rPr>
          <w:highlight w:val="none"/>
        </w:rPr>
        <w:t>特色生态文化凝练</w:t>
      </w:r>
      <w:bookmarkEnd w:id="307"/>
    </w:p>
    <w:p>
      <w:pPr>
        <w:ind w:firstLine="560"/>
        <w:rPr>
          <w:highlight w:val="none"/>
        </w:rPr>
      </w:pPr>
      <w:r>
        <w:rPr>
          <w:rFonts w:hint="eastAsia"/>
          <w:highlight w:val="none"/>
        </w:rPr>
        <w:t>开展历史文化资源保护。深入挖掘泰山区山神崇拜与帝王封禅祭祀历史、群众性的宗教活动历史、文化墨客的游览观赏历史、农民起义史，以及科学研究历史等文化资源，策划推出一批特色鲜明、观赏性强、互动性强的演艺节目及文化产品；依托世界首例自然与文化“双遗产”、世界地质公园、</w:t>
      </w:r>
      <w:r>
        <w:rPr>
          <w:highlight w:val="none"/>
        </w:rPr>
        <w:t>国家5A级景区</w:t>
      </w:r>
      <w:r>
        <w:rPr>
          <w:rFonts w:hint="eastAsia"/>
          <w:highlight w:val="none"/>
        </w:rPr>
        <w:t>的</w:t>
      </w:r>
      <w:r>
        <w:rPr>
          <w:highlight w:val="none"/>
        </w:rPr>
        <w:t>泰山</w:t>
      </w:r>
      <w:r>
        <w:rPr>
          <w:rFonts w:hint="eastAsia"/>
          <w:highlight w:val="none"/>
        </w:rPr>
        <w:t>、</w:t>
      </w:r>
      <w:r>
        <w:rPr>
          <w:highlight w:val="none"/>
        </w:rPr>
        <w:t>中国四大古建筑群之一</w:t>
      </w:r>
      <w:r>
        <w:rPr>
          <w:rFonts w:hint="eastAsia"/>
          <w:highlight w:val="none"/>
        </w:rPr>
        <w:t>的</w:t>
      </w:r>
      <w:r>
        <w:rPr>
          <w:highlight w:val="none"/>
        </w:rPr>
        <w:t>岱庙</w:t>
      </w:r>
      <w:r>
        <w:rPr>
          <w:rFonts w:hint="eastAsia"/>
          <w:highlight w:val="none"/>
        </w:rPr>
        <w:t>、</w:t>
      </w:r>
      <w:r>
        <w:rPr>
          <w:highlight w:val="none"/>
        </w:rPr>
        <w:t>汉明堂遗址、民俗文化风情</w:t>
      </w:r>
      <w:r>
        <w:rPr>
          <w:rFonts w:hint="eastAsia"/>
          <w:highlight w:val="none"/>
        </w:rPr>
        <w:t>等，整合各类历史文化资源，形成历史文化空间网络，整体彰显泰山区历史文化风貌，构建文化景观品牌。提高历史文化资源感知度，彰显各个历史时期特色文化。</w:t>
      </w:r>
      <w:r>
        <w:rPr>
          <w:highlight w:val="none"/>
        </w:rPr>
        <w:t>加强乡村优秀传统文化保护与传承，将泰山文化、儒家文化、农耕文化等融入乡村建设。围绕泰山书法、石刻艺术、石敢当文化等广泛开拓文化产品市场。开展</w:t>
      </w:r>
      <w:r>
        <w:rPr>
          <w:rFonts w:hint="eastAsia"/>
          <w:highlight w:val="none"/>
        </w:rPr>
        <w:t>“</w:t>
      </w:r>
      <w:r>
        <w:rPr>
          <w:highlight w:val="none"/>
        </w:rPr>
        <w:t>乡村记忆</w:t>
      </w:r>
      <w:r>
        <w:rPr>
          <w:rFonts w:hint="eastAsia"/>
          <w:highlight w:val="none"/>
        </w:rPr>
        <w:t>”</w:t>
      </w:r>
      <w:r>
        <w:rPr>
          <w:highlight w:val="none"/>
        </w:rPr>
        <w:t>工程，深入挖掘各村的村史村情等，</w:t>
      </w:r>
      <w:r>
        <w:rPr>
          <w:rFonts w:hint="eastAsia"/>
          <w:highlight w:val="none"/>
        </w:rPr>
        <w:t>打造</w:t>
      </w:r>
      <w:r>
        <w:rPr>
          <w:highlight w:val="none"/>
        </w:rPr>
        <w:t>人文历史宣传阵地、文化遗产传承基地、民俗民情展示场地。</w:t>
      </w:r>
    </w:p>
    <w:p>
      <w:pPr>
        <w:pStyle w:val="4"/>
        <w:spacing w:before="156"/>
        <w:rPr>
          <w:highlight w:val="none"/>
        </w:rPr>
      </w:pPr>
      <w:r>
        <w:rPr>
          <w:rFonts w:hint="eastAsia"/>
          <w:highlight w:val="none"/>
        </w:rPr>
        <w:t>加强非遗物质文化保护</w:t>
      </w:r>
    </w:p>
    <w:p>
      <w:pPr>
        <w:ind w:firstLine="560"/>
        <w:rPr>
          <w:highlight w:val="none"/>
        </w:rPr>
      </w:pPr>
      <w:r>
        <w:rPr>
          <w:rFonts w:hint="eastAsia"/>
          <w:highlight w:val="none"/>
        </w:rPr>
        <w:t>建立非物质文化遗产网，实现文化资源共享。积极开展以豆腐制作技艺和泰山舞狮等列入国家级和省级非遗项目名录的非物质文化遗产展示，开发以杨氏葫芦雕刻、泰山香艺、徐家庄木版年画、玉祥老银匠等一系列极具泰山特色与文化内涵的生态文化主导产品，以“文化和自然遗产日”等特殊节日为契机，举办生动的文化展示活动，在非遗保护中凸显传承。积极推进在中小学设立非物质文化遗产保护课程，加强与高校、科研机构合作开展非物质文化遗产课题研究。着力打造“文化强区”。不断增强文化软实力，推进现代公共文化服务体系建设，促进文旅科技融合，推动文化建设更好服务经济社会发展，</w:t>
      </w:r>
    </w:p>
    <w:p>
      <w:pPr>
        <w:pStyle w:val="4"/>
        <w:spacing w:before="156"/>
        <w:rPr>
          <w:highlight w:val="none"/>
        </w:rPr>
      </w:pPr>
      <w:r>
        <w:rPr>
          <w:rFonts w:hint="eastAsia"/>
          <w:highlight w:val="none"/>
        </w:rPr>
        <w:t>打造泰山生态文化品牌</w:t>
      </w:r>
    </w:p>
    <w:p>
      <w:pPr>
        <w:ind w:firstLine="560"/>
        <w:rPr>
          <w:highlight w:val="none"/>
        </w:rPr>
      </w:pPr>
      <w:r>
        <w:rPr>
          <w:rFonts w:hint="eastAsia"/>
          <w:highlight w:val="none"/>
        </w:rPr>
        <w:t>加大</w:t>
      </w:r>
      <w:r>
        <w:rPr>
          <w:highlight w:val="none"/>
        </w:rPr>
        <w:t>泰山赤磷鱼、泰山女儿茶、泰山药材、泰山玉、泰山石敢当等</w:t>
      </w:r>
      <w:r>
        <w:rPr>
          <w:rFonts w:hint="eastAsia"/>
          <w:highlight w:val="none"/>
        </w:rPr>
        <w:t>“</w:t>
      </w:r>
      <w:r>
        <w:rPr>
          <w:highlight w:val="none"/>
        </w:rPr>
        <w:t>自然地理元素</w:t>
      </w:r>
      <w:r>
        <w:rPr>
          <w:rFonts w:hint="eastAsia"/>
          <w:highlight w:val="none"/>
        </w:rPr>
        <w:t>”</w:t>
      </w:r>
      <w:r>
        <w:rPr>
          <w:highlight w:val="none"/>
        </w:rPr>
        <w:t>保护</w:t>
      </w:r>
      <w:r>
        <w:rPr>
          <w:rFonts w:hint="eastAsia"/>
          <w:highlight w:val="none"/>
        </w:rPr>
        <w:t>、</w:t>
      </w:r>
      <w:r>
        <w:rPr>
          <w:highlight w:val="none"/>
        </w:rPr>
        <w:t>策划、包装和推介</w:t>
      </w:r>
      <w:r>
        <w:rPr>
          <w:rFonts w:hint="eastAsia"/>
          <w:highlight w:val="none"/>
        </w:rPr>
        <w:t>。</w:t>
      </w:r>
      <w:r>
        <w:rPr>
          <w:highlight w:val="none"/>
        </w:rPr>
        <w:t>叫响</w:t>
      </w:r>
      <w:r>
        <w:rPr>
          <w:rFonts w:hint="eastAsia"/>
          <w:highlight w:val="none"/>
        </w:rPr>
        <w:t>“</w:t>
      </w:r>
      <w:r>
        <w:rPr>
          <w:highlight w:val="none"/>
        </w:rPr>
        <w:t>国山圣水·茶礼天下</w:t>
      </w:r>
      <w:r>
        <w:rPr>
          <w:rFonts w:hint="eastAsia"/>
          <w:highlight w:val="none"/>
        </w:rPr>
        <w:t>”</w:t>
      </w:r>
      <w:r>
        <w:rPr>
          <w:highlight w:val="none"/>
        </w:rPr>
        <w:t>泰山茶、</w:t>
      </w:r>
      <w:r>
        <w:rPr>
          <w:rFonts w:hint="eastAsia"/>
          <w:highlight w:val="none"/>
        </w:rPr>
        <w:t>“</w:t>
      </w:r>
      <w:r>
        <w:rPr>
          <w:highlight w:val="none"/>
        </w:rPr>
        <w:t>亚奥特乳业</w:t>
      </w:r>
      <w:r>
        <w:rPr>
          <w:rFonts w:hint="eastAsia"/>
          <w:highlight w:val="none"/>
        </w:rPr>
        <w:t>”</w:t>
      </w:r>
      <w:r>
        <w:rPr>
          <w:highlight w:val="none"/>
        </w:rPr>
        <w:t>生态奶业、</w:t>
      </w:r>
      <w:r>
        <w:rPr>
          <w:rFonts w:hint="eastAsia"/>
          <w:highlight w:val="none"/>
        </w:rPr>
        <w:t>“</w:t>
      </w:r>
      <w:r>
        <w:rPr>
          <w:highlight w:val="none"/>
        </w:rPr>
        <w:t>九洲丰园</w:t>
      </w:r>
      <w:r>
        <w:rPr>
          <w:rFonts w:hint="eastAsia"/>
          <w:highlight w:val="none"/>
        </w:rPr>
        <w:t>”</w:t>
      </w:r>
      <w:r>
        <w:rPr>
          <w:highlight w:val="none"/>
        </w:rPr>
        <w:t>有机蔬菜等</w:t>
      </w:r>
      <w:r>
        <w:rPr>
          <w:rFonts w:hint="eastAsia"/>
          <w:highlight w:val="none"/>
        </w:rPr>
        <w:t>泰山</w:t>
      </w:r>
      <w:r>
        <w:rPr>
          <w:highlight w:val="none"/>
        </w:rPr>
        <w:t>优势</w:t>
      </w:r>
      <w:r>
        <w:rPr>
          <w:rFonts w:hint="eastAsia"/>
          <w:highlight w:val="none"/>
        </w:rPr>
        <w:t>生态产品</w:t>
      </w:r>
      <w:r>
        <w:rPr>
          <w:highlight w:val="none"/>
        </w:rPr>
        <w:t>品牌，推动泰山</w:t>
      </w:r>
      <w:r>
        <w:rPr>
          <w:rFonts w:hint="eastAsia"/>
          <w:highlight w:val="none"/>
        </w:rPr>
        <w:t>特色生态</w:t>
      </w:r>
      <w:r>
        <w:rPr>
          <w:highlight w:val="none"/>
        </w:rPr>
        <w:t>产品走向国内外</w:t>
      </w:r>
      <w:r>
        <w:rPr>
          <w:rFonts w:hint="eastAsia"/>
          <w:highlight w:val="none"/>
        </w:rPr>
        <w:t>。</w:t>
      </w:r>
      <w:r>
        <w:rPr>
          <w:highlight w:val="none"/>
        </w:rPr>
        <w:t>利用主导优势产业，建成茶叶、猕猴桃等科普示范基地，打造科普助力乡村振兴品牌。</w:t>
      </w:r>
      <w:r>
        <w:rPr>
          <w:rFonts w:hint="eastAsia"/>
          <w:highlight w:val="none"/>
        </w:rPr>
        <w:t>全方面、多维度提升泰山区历史文化名区的品牌影响力。</w:t>
      </w:r>
    </w:p>
    <w:p>
      <w:pPr>
        <w:ind w:firstLine="560"/>
        <w:rPr>
          <w:highlight w:val="none"/>
        </w:rPr>
      </w:pPr>
      <w:r>
        <w:rPr>
          <w:rFonts w:hint="eastAsia"/>
          <w:highlight w:val="none"/>
        </w:rPr>
        <w:t>开展“一村（社区）一品”创建。拓展、丰富金秋艺术节、广场舞展演等群众文化品牌活动。规范发展夜间经济，完善“梦泰山啤酒园”夜间文化消费集聚区。重点建设区文化艺术中心、数字文化馆，以邱家店镇为示范，开发商住开发片区、文化旅游片区。加大“清泉官庄”王林坡村“一庄两园一画廊”“泉文化”品牌的宣传打造。</w:t>
      </w:r>
    </w:p>
    <w:p>
      <w:pPr>
        <w:ind w:firstLine="560"/>
        <w:rPr>
          <w:highlight w:val="none"/>
        </w:rPr>
      </w:pPr>
      <w:r>
        <w:rPr>
          <w:rFonts w:hint="eastAsia"/>
          <w:highlight w:val="none"/>
        </w:rPr>
        <w:t>打造种植采摘康养文化品牌。发挥亓家滩猕猴桃、石榴等林果种植和艾灸生产、盆景种植等产业优势，以电商平台、采摘节、绘画写生基地等途径扩大宣传。瞄准“此心安处是吾乡”的发展定位，在安家庄建设集养老养生、保健护理、旅游观光于一体的综合性养老养生基地，打造独具特色的康养旅游文化品牌。推出一批既有浓郁文化特色，又具备时代精神，为群众喜闻乐见的优秀文化品牌。</w:t>
      </w:r>
    </w:p>
    <w:p>
      <w:pPr>
        <w:pStyle w:val="4"/>
        <w:spacing w:before="156"/>
        <w:rPr>
          <w:highlight w:val="none"/>
        </w:rPr>
      </w:pPr>
      <w:r>
        <w:rPr>
          <w:rFonts w:hint="eastAsia"/>
          <w:highlight w:val="none"/>
        </w:rPr>
        <w:t>完善生态文化宣传载体</w:t>
      </w:r>
    </w:p>
    <w:p>
      <w:pPr>
        <w:ind w:firstLine="560"/>
        <w:rPr>
          <w:highlight w:val="none"/>
        </w:rPr>
      </w:pPr>
      <w:r>
        <w:rPr>
          <w:rFonts w:hint="eastAsia"/>
          <w:highlight w:val="none"/>
        </w:rPr>
        <w:t>用活用好生态文化宣传媒介。推进政府信息公开平台建设，</w:t>
      </w:r>
      <w:r>
        <w:rPr>
          <w:highlight w:val="none"/>
        </w:rPr>
        <w:t>优化</w:t>
      </w:r>
      <w:r>
        <w:rPr>
          <w:rFonts w:hint="eastAsia"/>
          <w:highlight w:val="none"/>
        </w:rPr>
        <w:t>政务公开</w:t>
      </w:r>
      <w:r>
        <w:rPr>
          <w:highlight w:val="none"/>
        </w:rPr>
        <w:t>专栏</w:t>
      </w:r>
      <w:r>
        <w:rPr>
          <w:rFonts w:hint="eastAsia"/>
          <w:highlight w:val="none"/>
        </w:rPr>
        <w:t>，尝试开设“生态建设”专栏，实施数字化管理，公示生态文明建设等政策文件，通过“和美泰山”微信公众号等途径普及生态文明和环保知识，方便公众监督和查阅，鼓励生态文化全民互动。</w:t>
      </w:r>
    </w:p>
    <w:p>
      <w:pPr>
        <w:pStyle w:val="4"/>
        <w:spacing w:before="156"/>
        <w:rPr>
          <w:highlight w:val="none"/>
        </w:rPr>
      </w:pPr>
      <w:r>
        <w:rPr>
          <w:rFonts w:hint="eastAsia"/>
          <w:highlight w:val="none"/>
        </w:rPr>
        <w:t>建设文化宣传教育基地</w:t>
      </w:r>
    </w:p>
    <w:p>
      <w:pPr>
        <w:ind w:firstLine="560"/>
        <w:rPr>
          <w:highlight w:val="none"/>
        </w:rPr>
      </w:pPr>
      <w:r>
        <w:rPr>
          <w:rFonts w:hint="eastAsia"/>
          <w:highlight w:val="none"/>
        </w:rPr>
        <w:t>强化已有科普教育基地生态文化宣传，力争每年通过基地开展活动不少于</w:t>
      </w:r>
      <w:r>
        <w:rPr>
          <w:highlight w:val="none"/>
        </w:rPr>
        <w:t>10</w:t>
      </w:r>
      <w:r>
        <w:rPr>
          <w:rFonts w:hint="eastAsia"/>
          <w:highlight w:val="none"/>
        </w:rPr>
        <w:t>次。积极开展生态文化教育基地建设。依托区内爱国主义教育基地红色展馆、理论宣讲基地等条件较成熟、具有典型性的宣教培训基地，以生态文明、双碳、两山、气候变化、森林与湿地保护以及历史文化等为主线开展宣教活动，促进公众感知文化、自然与社会进步的关系，潜移默化树立人与自然和谐共生的生态文明观念。</w:t>
      </w:r>
    </w:p>
    <w:p>
      <w:pPr>
        <w:pStyle w:val="3"/>
        <w:rPr>
          <w:b/>
          <w:bCs w:val="0"/>
          <w:highlight w:val="none"/>
        </w:rPr>
      </w:pPr>
      <w:bookmarkStart w:id="308" w:name="_Toc3118"/>
      <w:bookmarkStart w:id="309" w:name="_Toc13227"/>
      <w:bookmarkStart w:id="310" w:name="_Toc143041459"/>
      <w:bookmarkStart w:id="311" w:name="_Toc23518"/>
      <w:bookmarkStart w:id="312" w:name="_Toc1494"/>
      <w:r>
        <w:rPr>
          <w:rFonts w:hint="eastAsia"/>
          <w:b/>
          <w:bCs w:val="0"/>
          <w:highlight w:val="none"/>
        </w:rPr>
        <w:t>推进</w:t>
      </w:r>
      <w:r>
        <w:rPr>
          <w:b/>
          <w:bCs w:val="0"/>
          <w:highlight w:val="none"/>
        </w:rPr>
        <w:t>生态文明培训宣教</w:t>
      </w:r>
      <w:bookmarkEnd w:id="308"/>
      <w:bookmarkEnd w:id="309"/>
      <w:bookmarkEnd w:id="310"/>
      <w:bookmarkEnd w:id="311"/>
      <w:bookmarkEnd w:id="312"/>
    </w:p>
    <w:p>
      <w:pPr>
        <w:pStyle w:val="4"/>
        <w:spacing w:before="156"/>
        <w:rPr>
          <w:highlight w:val="none"/>
        </w:rPr>
      </w:pPr>
      <w:r>
        <w:rPr>
          <w:rFonts w:hint="eastAsia"/>
          <w:highlight w:val="none"/>
        </w:rPr>
        <w:t>加强政府宣传引导作用</w:t>
      </w:r>
    </w:p>
    <w:p>
      <w:pPr>
        <w:ind w:firstLine="562"/>
        <w:rPr>
          <w:highlight w:val="none"/>
        </w:rPr>
      </w:pPr>
      <w:r>
        <w:rPr>
          <w:rFonts w:hint="eastAsia"/>
          <w:b/>
          <w:bCs/>
          <w:highlight w:val="none"/>
        </w:rPr>
        <w:t>强化党政机关生态文化培训。</w:t>
      </w:r>
      <w:r>
        <w:rPr>
          <w:rFonts w:hint="eastAsia"/>
          <w:highlight w:val="none"/>
        </w:rPr>
        <w:t>针对生态文明建设的发展历程、深层内涵、重大意义、重点领域以及主要任务等内容，依托理论学习小组、民主生活会、党校、专家解读及参观交流等渠道定期开展培训。把生态文明纳入党政干部教育、考核、竞职的内容，并逐步扩大培训覆盖范围，确保党政领导干部参加生态文明培训的人数比例始终维持在</w:t>
      </w:r>
      <w:r>
        <w:rPr>
          <w:highlight w:val="none"/>
        </w:rPr>
        <w:t>100%</w:t>
      </w:r>
      <w:r>
        <w:rPr>
          <w:rFonts w:hint="eastAsia"/>
          <w:highlight w:val="none"/>
        </w:rPr>
        <w:t>。加强与生态文明建设工作突出的省内外区市的学习交流，定期参观与经验交流，借鉴经验以提升全区生态文明建设工作水平。</w:t>
      </w:r>
    </w:p>
    <w:p>
      <w:pPr>
        <w:ind w:firstLine="562"/>
        <w:rPr>
          <w:highlight w:val="none"/>
        </w:rPr>
      </w:pPr>
      <w:r>
        <w:rPr>
          <w:b/>
          <w:bCs/>
          <w:highlight w:val="none"/>
        </w:rPr>
        <w:t>深入开展</w:t>
      </w:r>
      <w:r>
        <w:rPr>
          <w:rFonts w:hint="eastAsia"/>
          <w:b/>
          <w:bCs/>
          <w:highlight w:val="none"/>
        </w:rPr>
        <w:t>“</w:t>
      </w:r>
      <w:r>
        <w:rPr>
          <w:b/>
          <w:bCs/>
          <w:highlight w:val="none"/>
        </w:rPr>
        <w:t>绿色机关</w:t>
      </w:r>
      <w:r>
        <w:rPr>
          <w:rFonts w:hint="eastAsia"/>
          <w:b/>
          <w:bCs/>
          <w:highlight w:val="none"/>
        </w:rPr>
        <w:t>”</w:t>
      </w:r>
      <w:r>
        <w:rPr>
          <w:b/>
          <w:bCs/>
          <w:highlight w:val="none"/>
        </w:rPr>
        <w:t>创建活动。</w:t>
      </w:r>
      <w:r>
        <w:rPr>
          <w:highlight w:val="none"/>
        </w:rPr>
        <w:t>打造</w:t>
      </w:r>
      <w:r>
        <w:rPr>
          <w:rFonts w:hint="eastAsia"/>
          <w:highlight w:val="none"/>
        </w:rPr>
        <w:t>“</w:t>
      </w:r>
      <w:r>
        <w:rPr>
          <w:highlight w:val="none"/>
        </w:rPr>
        <w:t>绿色办公室</w:t>
      </w:r>
      <w:r>
        <w:rPr>
          <w:rFonts w:hint="eastAsia"/>
          <w:highlight w:val="none"/>
        </w:rPr>
        <w:t>”</w:t>
      </w:r>
      <w:r>
        <w:rPr>
          <w:highlight w:val="none"/>
        </w:rPr>
        <w:t>。从建筑材料、办公室的设计、办公室采购实现建筑节能和生态环保。实行绿色采购即优先采购有节能标志的产品，优先采购经过生态设计或通过环境标志认证的产品；建立环境安全应急机制，提高事故应急能力。</w:t>
      </w:r>
    </w:p>
    <w:p>
      <w:pPr>
        <w:pStyle w:val="4"/>
        <w:spacing w:before="156"/>
        <w:rPr>
          <w:highlight w:val="none"/>
        </w:rPr>
      </w:pPr>
      <w:r>
        <w:rPr>
          <w:rFonts w:hint="eastAsia"/>
          <w:highlight w:val="none"/>
        </w:rPr>
        <w:t>提升企业生态行为意识</w:t>
      </w:r>
    </w:p>
    <w:p>
      <w:pPr>
        <w:ind w:firstLine="562"/>
        <w:rPr>
          <w:highlight w:val="none"/>
        </w:rPr>
      </w:pPr>
      <w:r>
        <w:rPr>
          <w:b/>
          <w:bCs/>
          <w:highlight w:val="none"/>
        </w:rPr>
        <w:t>加强企业生态文化教育。</w:t>
      </w:r>
      <w:r>
        <w:rPr>
          <w:highlight w:val="none"/>
        </w:rPr>
        <w:t>编写企业内部生态文明环保条例，重点宣传节能减排、清洁生产、循环经济等方面先进技术及管理方法。成立</w:t>
      </w:r>
      <w:r>
        <w:rPr>
          <w:rFonts w:hint="eastAsia"/>
          <w:highlight w:val="none"/>
        </w:rPr>
        <w:t>“泰山区</w:t>
      </w:r>
      <w:r>
        <w:rPr>
          <w:highlight w:val="none"/>
        </w:rPr>
        <w:t>企业社会责任联盟</w:t>
      </w:r>
      <w:r>
        <w:rPr>
          <w:rFonts w:hint="eastAsia"/>
          <w:highlight w:val="none"/>
        </w:rPr>
        <w:t>”，</w:t>
      </w:r>
      <w:r>
        <w:rPr>
          <w:highlight w:val="none"/>
        </w:rPr>
        <w:t>定期组织生态文明建设知识讲座</w:t>
      </w:r>
      <w:r>
        <w:rPr>
          <w:rFonts w:hint="eastAsia"/>
          <w:highlight w:val="none"/>
        </w:rPr>
        <w:t>与</w:t>
      </w:r>
      <w:r>
        <w:rPr>
          <w:highlight w:val="none"/>
        </w:rPr>
        <w:t>技术培训</w:t>
      </w:r>
      <w:r>
        <w:rPr>
          <w:rFonts w:hint="eastAsia"/>
          <w:highlight w:val="none"/>
        </w:rPr>
        <w:t>。提升员工</w:t>
      </w:r>
      <w:r>
        <w:rPr>
          <w:highlight w:val="none"/>
        </w:rPr>
        <w:t>对生态理念的认识</w:t>
      </w:r>
      <w:r>
        <w:rPr>
          <w:rFonts w:hint="eastAsia"/>
          <w:highlight w:val="none"/>
        </w:rPr>
        <w:t>，提高</w:t>
      </w:r>
      <w:r>
        <w:rPr>
          <w:highlight w:val="none"/>
        </w:rPr>
        <w:t>相应</w:t>
      </w:r>
      <w:r>
        <w:rPr>
          <w:rFonts w:hint="eastAsia"/>
          <w:highlight w:val="none"/>
        </w:rPr>
        <w:t>的</w:t>
      </w:r>
      <w:r>
        <w:rPr>
          <w:highlight w:val="none"/>
        </w:rPr>
        <w:t>工作能力。</w:t>
      </w:r>
      <w:r>
        <w:rPr>
          <w:rFonts w:hint="eastAsia"/>
          <w:highlight w:val="none"/>
        </w:rPr>
        <w:t>鼓励企业</w:t>
      </w:r>
      <w:r>
        <w:rPr>
          <w:highlight w:val="none"/>
        </w:rPr>
        <w:t>在形象策划、产品开发、商标设计等方面充分体现生态理念。</w:t>
      </w:r>
    </w:p>
    <w:p>
      <w:pPr>
        <w:pStyle w:val="4"/>
        <w:spacing w:before="156"/>
        <w:rPr>
          <w:highlight w:val="none"/>
        </w:rPr>
      </w:pPr>
      <w:r>
        <w:rPr>
          <w:rFonts w:hint="eastAsia"/>
          <w:highlight w:val="none"/>
        </w:rPr>
        <w:t>营造社区生态文化氛围</w:t>
      </w:r>
    </w:p>
    <w:p>
      <w:pPr>
        <w:ind w:firstLine="560"/>
        <w:rPr>
          <w:highlight w:val="none"/>
        </w:rPr>
      </w:pPr>
      <w:r>
        <w:rPr>
          <w:rFonts w:hint="eastAsia"/>
          <w:highlight w:val="none"/>
        </w:rPr>
        <w:t>采用发放环保手册、开辟报纸专栏、举办社区生态文化展览和主题宣传活动等多种形式，培育文明向上的社区生态文化，倡导绿色生活方式、消费模式与伦理道德规范。提倡培养优良的社区人际关系，倡导互相帮助、互敬互让、热心参与公益活动的和谐人际关系，开展社区明星家庭评选活动，给予一定奖励，激发居民绿色生活的积极性。</w:t>
      </w:r>
    </w:p>
    <w:p>
      <w:pPr>
        <w:pStyle w:val="4"/>
        <w:spacing w:before="156"/>
        <w:rPr>
          <w:highlight w:val="none"/>
        </w:rPr>
      </w:pPr>
      <w:r>
        <w:rPr>
          <w:rFonts w:hint="eastAsia"/>
          <w:highlight w:val="none"/>
        </w:rPr>
        <w:t>强化学校生态行为意识</w:t>
      </w:r>
    </w:p>
    <w:p>
      <w:pPr>
        <w:ind w:firstLine="560"/>
        <w:rPr>
          <w:highlight w:val="none"/>
        </w:rPr>
      </w:pPr>
      <w:r>
        <w:rPr>
          <w:rFonts w:hint="eastAsia"/>
          <w:highlight w:val="none"/>
        </w:rPr>
        <w:t>依托泰城高校资源优势，加强教师队伍的</w:t>
      </w:r>
      <w:r>
        <w:rPr>
          <w:highlight w:val="none"/>
        </w:rPr>
        <w:t>生态文明理念与常识专题辅导</w:t>
      </w:r>
      <w:r>
        <w:rPr>
          <w:rFonts w:hint="eastAsia"/>
          <w:highlight w:val="none"/>
        </w:rPr>
        <w:t>和学习交流，</w:t>
      </w:r>
      <w:r>
        <w:rPr>
          <w:highlight w:val="none"/>
        </w:rPr>
        <w:t>提高教师本身对生态文明的理解，开展生态文化的渗入式教育研究。针对不同年龄层次学生特点将生态教育融入到日常教学当中去，编制系列辅助读本开展生态文化教育。</w:t>
      </w:r>
      <w:r>
        <w:rPr>
          <w:rFonts w:hint="eastAsia"/>
          <w:highlight w:val="none"/>
        </w:rPr>
        <w:t>引导学生从身边事做起，践行绿色生活方式和消费方式，普遍提高学生生态意识。</w:t>
      </w:r>
    </w:p>
    <w:p>
      <w:pPr>
        <w:pStyle w:val="3"/>
        <w:rPr>
          <w:b/>
          <w:bCs w:val="0"/>
          <w:highlight w:val="none"/>
        </w:rPr>
      </w:pPr>
      <w:bookmarkStart w:id="313" w:name="_Toc25327"/>
      <w:bookmarkStart w:id="314" w:name="_Toc7174"/>
      <w:bookmarkStart w:id="315" w:name="_Toc143041460"/>
      <w:bookmarkStart w:id="316" w:name="_Toc27677"/>
      <w:bookmarkStart w:id="317" w:name="_Toc12901"/>
      <w:r>
        <w:rPr>
          <w:rFonts w:hint="eastAsia"/>
          <w:b/>
          <w:bCs w:val="0"/>
          <w:highlight w:val="none"/>
        </w:rPr>
        <w:t>加快</w:t>
      </w:r>
      <w:r>
        <w:rPr>
          <w:b/>
          <w:bCs w:val="0"/>
          <w:highlight w:val="none"/>
        </w:rPr>
        <w:t>生态文明共建</w:t>
      </w:r>
      <w:bookmarkEnd w:id="313"/>
      <w:r>
        <w:rPr>
          <w:rFonts w:hint="eastAsia"/>
          <w:b/>
          <w:bCs w:val="0"/>
          <w:highlight w:val="none"/>
        </w:rPr>
        <w:t>共享</w:t>
      </w:r>
      <w:bookmarkEnd w:id="314"/>
      <w:bookmarkEnd w:id="315"/>
      <w:bookmarkEnd w:id="316"/>
      <w:bookmarkEnd w:id="317"/>
    </w:p>
    <w:p>
      <w:pPr>
        <w:pStyle w:val="4"/>
        <w:spacing w:before="156"/>
        <w:rPr>
          <w:highlight w:val="none"/>
        </w:rPr>
      </w:pPr>
      <w:r>
        <w:rPr>
          <w:rFonts w:hint="eastAsia"/>
          <w:highlight w:val="none"/>
        </w:rPr>
        <w:t>开展学校生态文化创建</w:t>
      </w:r>
    </w:p>
    <w:p>
      <w:pPr>
        <w:ind w:firstLine="560"/>
        <w:rPr>
          <w:rFonts w:eastAsia="宋体"/>
          <w:highlight w:val="none"/>
        </w:rPr>
      </w:pPr>
      <w:r>
        <w:rPr>
          <w:highlight w:val="none"/>
        </w:rPr>
        <w:t>开展</w:t>
      </w:r>
      <w:r>
        <w:rPr>
          <w:rFonts w:hint="eastAsia"/>
          <w:highlight w:val="none"/>
        </w:rPr>
        <w:t>“</w:t>
      </w:r>
      <w:r>
        <w:rPr>
          <w:highlight w:val="none"/>
        </w:rPr>
        <w:t>绿色校园</w:t>
      </w:r>
      <w:r>
        <w:rPr>
          <w:rFonts w:hint="eastAsia"/>
          <w:highlight w:val="none"/>
        </w:rPr>
        <w:t>”</w:t>
      </w:r>
      <w:r>
        <w:rPr>
          <w:highlight w:val="none"/>
        </w:rPr>
        <w:t>创建活动。在</w:t>
      </w:r>
      <w:r>
        <w:rPr>
          <w:rFonts w:hint="eastAsia"/>
          <w:highlight w:val="none"/>
        </w:rPr>
        <w:t>中小学</w:t>
      </w:r>
      <w:r>
        <w:rPr>
          <w:highlight w:val="none"/>
        </w:rPr>
        <w:t>校开展校园绿化活动</w:t>
      </w:r>
      <w:r>
        <w:rPr>
          <w:rFonts w:hint="eastAsia"/>
          <w:highlight w:val="none"/>
        </w:rPr>
        <w:t>，</w:t>
      </w:r>
      <w:r>
        <w:rPr>
          <w:highlight w:val="none"/>
        </w:rPr>
        <w:t>在教室、走廊、</w:t>
      </w:r>
      <w:r>
        <w:rPr>
          <w:rFonts w:hint="eastAsia"/>
          <w:highlight w:val="none"/>
        </w:rPr>
        <w:t>垃圾桶</w:t>
      </w:r>
      <w:r>
        <w:rPr>
          <w:highlight w:val="none"/>
        </w:rPr>
        <w:t>等醒目位置设置节水、节能、资源回收等警醒标语，规范学生日常行为；基础条件好的学校增设中水系统等环保设备。利用世界环境日、世界水日、生物多样性保护日等纪念日，举办生态文明知识竞赛、演讲和征文比赛等，宣传环保</w:t>
      </w:r>
      <w:r>
        <w:rPr>
          <w:rFonts w:hint="eastAsia"/>
          <w:highlight w:val="none"/>
        </w:rPr>
        <w:t>和</w:t>
      </w:r>
      <w:r>
        <w:rPr>
          <w:highlight w:val="none"/>
        </w:rPr>
        <w:t>生态安全法律法规。</w:t>
      </w:r>
    </w:p>
    <w:p>
      <w:pPr>
        <w:pStyle w:val="4"/>
        <w:spacing w:before="156"/>
        <w:rPr>
          <w:highlight w:val="none"/>
        </w:rPr>
      </w:pPr>
      <w:r>
        <w:rPr>
          <w:rFonts w:hint="eastAsia"/>
          <w:highlight w:val="none"/>
        </w:rPr>
        <w:t>开展绿色家庭创建活动</w:t>
      </w:r>
    </w:p>
    <w:p>
      <w:pPr>
        <w:ind w:firstLine="560"/>
        <w:rPr>
          <w:highlight w:val="none"/>
        </w:rPr>
      </w:pPr>
      <w:r>
        <w:rPr>
          <w:rFonts w:hint="eastAsia"/>
          <w:highlight w:val="none"/>
        </w:rPr>
        <w:t>充分利用社区宣传栏、展板等各类宣传载体，宣传能源资源节约、公共环境卫生整治、自然生态环境保护、树立文明新风等内容，提高家庭生活绿色环保水平。鼓励主动践行节电节水、光盘行动、减塑行动、绿色出行、垃圾分类等绿色生活方式；以街道、乡镇为单位积极开展野生动植物保护、义务植树、环境监督、环保宣传等绿色公益活动及“绿色生活·最美家庭”、“美丽家园”建设等各类内容丰富、形式新颖的主题活动。引导广大家庭自觉践行低碳绿色生活方式。</w:t>
      </w:r>
    </w:p>
    <w:p>
      <w:pPr>
        <w:pStyle w:val="4"/>
        <w:spacing w:before="156"/>
        <w:rPr>
          <w:highlight w:val="none"/>
        </w:rPr>
      </w:pPr>
      <w:r>
        <w:rPr>
          <w:rFonts w:hint="eastAsia"/>
          <w:highlight w:val="none"/>
        </w:rPr>
        <w:t>鼓励群众环保组织活动</w:t>
      </w:r>
    </w:p>
    <w:p>
      <w:pPr>
        <w:ind w:firstLine="560"/>
        <w:rPr>
          <w:rFonts w:cs="Times New Roman"/>
          <w:highlight w:val="none"/>
        </w:rPr>
      </w:pPr>
      <w:r>
        <w:rPr>
          <w:highlight w:val="none"/>
        </w:rPr>
        <w:t>充分发挥工会、共青团、妇联等群团组织作用，广泛开展生态文明公益活动，积极引导、培育和</w:t>
      </w:r>
      <w:r>
        <w:rPr>
          <w:rFonts w:hint="eastAsia"/>
          <w:highlight w:val="none"/>
        </w:rPr>
        <w:t>扶持</w:t>
      </w:r>
      <w:r>
        <w:rPr>
          <w:highlight w:val="none"/>
        </w:rPr>
        <w:t>环保社会组织健康有序发展。加快推进绿色学校、绿色家庭等绿色细胞工程创建</w:t>
      </w:r>
      <w:r>
        <w:rPr>
          <w:rFonts w:hint="eastAsia"/>
          <w:highlight w:val="none"/>
        </w:rPr>
        <w:t>，增强生态文化活力。</w:t>
      </w:r>
    </w:p>
    <w:p>
      <w:pPr>
        <w:ind w:firstLine="560"/>
        <w:rPr>
          <w:rFonts w:cs="Times New Roman"/>
          <w:highlight w:val="none"/>
        </w:rPr>
        <w:sectPr>
          <w:pgSz w:w="11906" w:h="16838"/>
          <w:pgMar w:top="1440" w:right="1800" w:bottom="1440" w:left="1800" w:header="851" w:footer="992" w:gutter="0"/>
          <w:cols w:space="425" w:num="1"/>
          <w:docGrid w:type="lines" w:linePitch="312" w:charSpace="0"/>
        </w:sectPr>
      </w:pPr>
    </w:p>
    <w:p>
      <w:pPr>
        <w:pStyle w:val="2"/>
        <w:rPr>
          <w:highlight w:val="none"/>
        </w:rPr>
      </w:pPr>
      <w:bookmarkStart w:id="318" w:name="_Toc19106"/>
      <w:r>
        <w:rPr>
          <w:highlight w:val="none"/>
        </w:rPr>
        <w:t>重点工程</w:t>
      </w:r>
      <w:bookmarkEnd w:id="318"/>
    </w:p>
    <w:p>
      <w:pPr>
        <w:ind w:firstLine="560"/>
        <w:rPr>
          <w:highlight w:val="none"/>
        </w:rPr>
      </w:pPr>
      <w:r>
        <w:rPr>
          <w:rFonts w:hint="eastAsia"/>
          <w:highlight w:val="none"/>
        </w:rPr>
        <w:t>本规划结合泰山区实际，从生态制度、生态安全、生态空间、生态经济、生态生活、生态文化</w:t>
      </w:r>
      <w:r>
        <w:rPr>
          <w:highlight w:val="none"/>
        </w:rPr>
        <w:t>6个方面，通过以下2</w:t>
      </w:r>
      <w:r>
        <w:rPr>
          <w:rFonts w:hint="eastAsia"/>
          <w:highlight w:val="none"/>
        </w:rPr>
        <w:t>4</w:t>
      </w:r>
      <w:r>
        <w:rPr>
          <w:highlight w:val="none"/>
        </w:rPr>
        <w:t>项重点工程提升泰山区生态文明建设水平，实现泰山区生态文明制度体系更加健全、生态环境质量明显改善、生态经济实力进一步增强、生态文化服务能力不断升级、生态绿色发展理念深入人心，总投资概算</w:t>
      </w:r>
      <w:r>
        <w:rPr>
          <w:rFonts w:hint="eastAsia"/>
          <w:highlight w:val="none"/>
        </w:rPr>
        <w:t>37.14</w:t>
      </w:r>
      <w:r>
        <w:rPr>
          <w:highlight w:val="none"/>
        </w:rPr>
        <w:t>亿元。</w:t>
      </w:r>
    </w:p>
    <w:p>
      <w:pPr>
        <w:widowControl/>
        <w:ind w:firstLine="562"/>
        <w:jc w:val="center"/>
        <w:rPr>
          <w:rFonts w:eastAsia="宋体" w:cs="Times New Roman"/>
          <w:b/>
          <w:bCs/>
          <w:highlight w:val="none"/>
        </w:rPr>
      </w:pPr>
      <w:r>
        <w:rPr>
          <w:rFonts w:hint="eastAsia" w:eastAsia="宋体" w:cs="Times New Roman"/>
          <w:b/>
          <w:bCs/>
          <w:highlight w:val="none"/>
        </w:rPr>
        <w:t>表10-1</w:t>
      </w:r>
      <w:r>
        <w:rPr>
          <w:rFonts w:eastAsia="宋体" w:cs="Times New Roman"/>
          <w:b/>
          <w:bCs/>
          <w:highlight w:val="none"/>
        </w:rPr>
        <w:t xml:space="preserve"> </w:t>
      </w:r>
      <w:r>
        <w:rPr>
          <w:rFonts w:hint="eastAsia" w:eastAsia="宋体" w:cs="Times New Roman"/>
          <w:b/>
          <w:bCs/>
          <w:highlight w:val="none"/>
        </w:rPr>
        <w:t>泰山区生态文明建设重点工程表</w:t>
      </w:r>
    </w:p>
    <w:tbl>
      <w:tblPr>
        <w:tblStyle w:val="10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573"/>
        <w:gridCol w:w="1648"/>
        <w:gridCol w:w="7050"/>
        <w:gridCol w:w="1261"/>
        <w:gridCol w:w="110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1" w:type="pct"/>
            <w:shd w:val="clear" w:color="auto" w:fill="F1F1F1" w:themeFill="background1" w:themeFillShade="F2"/>
            <w:noWrap/>
            <w:vAlign w:val="center"/>
          </w:tcPr>
          <w:p>
            <w:pPr>
              <w:snapToGrid w:val="0"/>
              <w:spacing w:line="240" w:lineRule="auto"/>
              <w:ind w:firstLine="0" w:firstLineChars="0"/>
              <w:jc w:val="center"/>
              <w:rPr>
                <w:b w:val="0"/>
                <w:bCs/>
                <w:i w:val="0"/>
                <w:sz w:val="21"/>
                <w:highlight w:val="none"/>
              </w:rPr>
            </w:pPr>
            <w:r>
              <w:rPr>
                <w:b/>
                <w:bCs/>
                <w:i w:val="0"/>
                <w:sz w:val="21"/>
                <w:highlight w:val="none"/>
              </w:rPr>
              <w:t>领域</w:t>
            </w:r>
          </w:p>
        </w:tc>
        <w:tc>
          <w:tcPr>
            <w:tcW w:w="202" w:type="pct"/>
            <w:shd w:val="clear" w:color="auto" w:fill="F1F1F1" w:themeFill="background1" w:themeFillShade="F2"/>
            <w:noWrap/>
            <w:vAlign w:val="center"/>
          </w:tcPr>
          <w:p>
            <w:pPr>
              <w:snapToGrid w:val="0"/>
              <w:spacing w:line="240" w:lineRule="auto"/>
              <w:ind w:firstLine="0" w:firstLineChars="0"/>
              <w:jc w:val="center"/>
              <w:rPr>
                <w:b w:val="0"/>
                <w:bCs/>
                <w:i w:val="0"/>
                <w:sz w:val="21"/>
                <w:highlight w:val="none"/>
              </w:rPr>
            </w:pPr>
            <w:r>
              <w:rPr>
                <w:b/>
                <w:bCs/>
                <w:i w:val="0"/>
                <w:sz w:val="21"/>
                <w:highlight w:val="none"/>
              </w:rPr>
              <w:t>序号</w:t>
            </w:r>
          </w:p>
        </w:tc>
        <w:tc>
          <w:tcPr>
            <w:tcW w:w="581" w:type="pct"/>
            <w:shd w:val="clear" w:color="auto" w:fill="F1F1F1" w:themeFill="background1" w:themeFillShade="F2"/>
            <w:noWrap/>
            <w:vAlign w:val="center"/>
          </w:tcPr>
          <w:p>
            <w:pPr>
              <w:snapToGrid w:val="0"/>
              <w:spacing w:line="240" w:lineRule="auto"/>
              <w:ind w:firstLine="0" w:firstLineChars="0"/>
              <w:jc w:val="center"/>
              <w:rPr>
                <w:b w:val="0"/>
                <w:bCs/>
                <w:i w:val="0"/>
                <w:sz w:val="21"/>
                <w:highlight w:val="none"/>
              </w:rPr>
            </w:pPr>
            <w:r>
              <w:rPr>
                <w:b/>
                <w:bCs/>
                <w:i w:val="0"/>
                <w:sz w:val="21"/>
                <w:highlight w:val="none"/>
              </w:rPr>
              <w:t>工程名称</w:t>
            </w:r>
          </w:p>
        </w:tc>
        <w:tc>
          <w:tcPr>
            <w:tcW w:w="2487" w:type="pct"/>
            <w:shd w:val="clear" w:color="auto" w:fill="F1F1F1" w:themeFill="background1" w:themeFillShade="F2"/>
            <w:vAlign w:val="center"/>
          </w:tcPr>
          <w:p>
            <w:pPr>
              <w:snapToGrid w:val="0"/>
              <w:spacing w:line="240" w:lineRule="auto"/>
              <w:ind w:firstLine="0" w:firstLineChars="0"/>
              <w:jc w:val="center"/>
              <w:rPr>
                <w:b w:val="0"/>
                <w:bCs/>
                <w:i w:val="0"/>
                <w:sz w:val="21"/>
                <w:highlight w:val="none"/>
              </w:rPr>
            </w:pPr>
            <w:r>
              <w:rPr>
                <w:b/>
                <w:bCs/>
                <w:i w:val="0"/>
                <w:sz w:val="21"/>
                <w:highlight w:val="none"/>
              </w:rPr>
              <w:t>建设内容</w:t>
            </w:r>
          </w:p>
        </w:tc>
        <w:tc>
          <w:tcPr>
            <w:tcW w:w="443" w:type="pct"/>
            <w:shd w:val="clear" w:color="auto" w:fill="F1F1F1" w:themeFill="background1" w:themeFillShade="F2"/>
            <w:noWrap/>
            <w:vAlign w:val="center"/>
          </w:tcPr>
          <w:p>
            <w:pPr>
              <w:snapToGrid w:val="0"/>
              <w:spacing w:line="240" w:lineRule="auto"/>
              <w:ind w:firstLine="0" w:firstLineChars="0"/>
              <w:jc w:val="center"/>
              <w:rPr>
                <w:b w:val="0"/>
                <w:bCs/>
                <w:i w:val="0"/>
                <w:sz w:val="21"/>
                <w:highlight w:val="none"/>
              </w:rPr>
            </w:pPr>
            <w:r>
              <w:rPr>
                <w:b/>
                <w:bCs/>
                <w:i w:val="0"/>
                <w:sz w:val="21"/>
                <w:highlight w:val="none"/>
              </w:rPr>
              <w:t>实施期限</w:t>
            </w:r>
          </w:p>
        </w:tc>
        <w:tc>
          <w:tcPr>
            <w:tcW w:w="390" w:type="pct"/>
            <w:shd w:val="clear" w:color="auto" w:fill="F1F1F1" w:themeFill="background1" w:themeFillShade="F2"/>
            <w:noWrap/>
            <w:vAlign w:val="center"/>
          </w:tcPr>
          <w:p>
            <w:pPr>
              <w:snapToGrid w:val="0"/>
              <w:spacing w:line="240" w:lineRule="auto"/>
              <w:ind w:firstLine="0" w:firstLineChars="0"/>
              <w:jc w:val="center"/>
              <w:rPr>
                <w:b w:val="0"/>
                <w:bCs/>
                <w:i w:val="0"/>
                <w:sz w:val="21"/>
                <w:highlight w:val="none"/>
              </w:rPr>
            </w:pPr>
            <w:r>
              <w:rPr>
                <w:b/>
                <w:bCs/>
                <w:i w:val="0"/>
                <w:sz w:val="21"/>
                <w:highlight w:val="none"/>
              </w:rPr>
              <w:t>投资概算（亿元）</w:t>
            </w:r>
          </w:p>
        </w:tc>
        <w:tc>
          <w:tcPr>
            <w:tcW w:w="693" w:type="pct"/>
            <w:shd w:val="clear" w:color="auto" w:fill="F1F1F1" w:themeFill="background1" w:themeFillShade="F2"/>
            <w:noWrap/>
            <w:vAlign w:val="center"/>
          </w:tcPr>
          <w:p>
            <w:pPr>
              <w:snapToGrid w:val="0"/>
              <w:spacing w:line="240" w:lineRule="auto"/>
              <w:ind w:firstLine="0" w:firstLineChars="0"/>
              <w:jc w:val="center"/>
              <w:rPr>
                <w:b w:val="0"/>
                <w:bCs/>
                <w:i w:val="0"/>
                <w:sz w:val="21"/>
                <w:highlight w:val="none"/>
              </w:rPr>
            </w:pPr>
            <w:r>
              <w:rPr>
                <w:b/>
                <w:bCs/>
                <w:i w:val="0"/>
                <w:sz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01" w:type="pct"/>
            <w:vMerge w:val="restart"/>
            <w:noWrap/>
            <w:vAlign w:val="center"/>
          </w:tcPr>
          <w:p>
            <w:pPr>
              <w:snapToGrid w:val="0"/>
              <w:spacing w:line="240" w:lineRule="auto"/>
              <w:ind w:firstLine="0" w:firstLineChars="0"/>
              <w:jc w:val="center"/>
              <w:rPr>
                <w:sz w:val="21"/>
                <w:highlight w:val="none"/>
              </w:rPr>
            </w:pPr>
            <w:r>
              <w:rPr>
                <w:sz w:val="21"/>
                <w:highlight w:val="none"/>
              </w:rPr>
              <w:t>生态制度</w:t>
            </w:r>
          </w:p>
        </w:tc>
        <w:tc>
          <w:tcPr>
            <w:tcW w:w="202" w:type="pct"/>
            <w:noWrap/>
            <w:vAlign w:val="center"/>
          </w:tcPr>
          <w:p>
            <w:pPr>
              <w:snapToGrid w:val="0"/>
              <w:spacing w:line="240" w:lineRule="auto"/>
              <w:ind w:firstLine="0" w:firstLineChars="0"/>
              <w:jc w:val="center"/>
              <w:rPr>
                <w:sz w:val="21"/>
                <w:highlight w:val="none"/>
              </w:rPr>
            </w:pPr>
            <w:r>
              <w:rPr>
                <w:sz w:val="21"/>
                <w:highlight w:val="none"/>
              </w:rPr>
              <w:t>1</w:t>
            </w:r>
          </w:p>
        </w:tc>
        <w:tc>
          <w:tcPr>
            <w:tcW w:w="581" w:type="pct"/>
            <w:noWrap/>
            <w:vAlign w:val="center"/>
          </w:tcPr>
          <w:p>
            <w:pPr>
              <w:snapToGrid w:val="0"/>
              <w:spacing w:line="240" w:lineRule="auto"/>
              <w:ind w:firstLine="0" w:firstLineChars="0"/>
              <w:jc w:val="left"/>
              <w:rPr>
                <w:sz w:val="21"/>
                <w:highlight w:val="none"/>
              </w:rPr>
            </w:pPr>
            <w:r>
              <w:rPr>
                <w:sz w:val="21"/>
                <w:highlight w:val="none"/>
              </w:rPr>
              <w:t>一河（湖）一策制度建设工程</w:t>
            </w:r>
          </w:p>
        </w:tc>
        <w:tc>
          <w:tcPr>
            <w:tcW w:w="2487" w:type="pct"/>
            <w:vAlign w:val="center"/>
          </w:tcPr>
          <w:p>
            <w:pPr>
              <w:snapToGrid w:val="0"/>
              <w:spacing w:line="240" w:lineRule="auto"/>
              <w:ind w:firstLine="0" w:firstLineChars="0"/>
              <w:jc w:val="left"/>
              <w:rPr>
                <w:sz w:val="21"/>
                <w:highlight w:val="none"/>
              </w:rPr>
            </w:pPr>
            <w:r>
              <w:rPr>
                <w:sz w:val="21"/>
                <w:highlight w:val="none"/>
              </w:rPr>
              <w:t>在完成河湖管理保护范围划定工作基础上，完成河湖管理保护范围设立界桩地标工作，针对水质达标、生态修复等目标建立一河（湖）一策制度，并构建河湖管理长效制度体系。</w:t>
            </w:r>
          </w:p>
        </w:tc>
        <w:tc>
          <w:tcPr>
            <w:tcW w:w="443" w:type="pct"/>
            <w:noWrap/>
            <w:vAlign w:val="center"/>
          </w:tcPr>
          <w:p>
            <w:pPr>
              <w:snapToGrid w:val="0"/>
              <w:spacing w:line="240" w:lineRule="auto"/>
              <w:ind w:firstLine="0" w:firstLineChars="0"/>
              <w:jc w:val="center"/>
              <w:rPr>
                <w:sz w:val="21"/>
                <w:highlight w:val="none"/>
              </w:rPr>
            </w:pPr>
            <w:r>
              <w:rPr>
                <w:sz w:val="21"/>
                <w:highlight w:val="none"/>
              </w:rPr>
              <w:t>202</w:t>
            </w:r>
            <w:r>
              <w:rPr>
                <w:rFonts w:hint="eastAsia"/>
                <w:sz w:val="21"/>
                <w:highlight w:val="none"/>
              </w:rPr>
              <w:t>3</w:t>
            </w:r>
            <w:r>
              <w:rPr>
                <w:sz w:val="21"/>
                <w:highlight w:val="none"/>
              </w:rPr>
              <w:t>-2030</w:t>
            </w:r>
          </w:p>
        </w:tc>
        <w:tc>
          <w:tcPr>
            <w:tcW w:w="390" w:type="pct"/>
            <w:noWrap/>
            <w:vAlign w:val="center"/>
          </w:tcPr>
          <w:p>
            <w:pPr>
              <w:snapToGrid w:val="0"/>
              <w:spacing w:line="240" w:lineRule="auto"/>
              <w:ind w:firstLine="0" w:firstLineChars="0"/>
              <w:jc w:val="center"/>
              <w:rPr>
                <w:sz w:val="21"/>
                <w:highlight w:val="none"/>
              </w:rPr>
            </w:pPr>
            <w:r>
              <w:rPr>
                <w:sz w:val="21"/>
                <w:highlight w:val="none"/>
              </w:rPr>
              <w:t>0.02</w:t>
            </w:r>
          </w:p>
        </w:tc>
        <w:tc>
          <w:tcPr>
            <w:tcW w:w="693" w:type="pct"/>
            <w:noWrap/>
            <w:vAlign w:val="center"/>
          </w:tcPr>
          <w:p>
            <w:pPr>
              <w:snapToGrid w:val="0"/>
              <w:spacing w:line="240" w:lineRule="auto"/>
              <w:ind w:firstLine="0" w:firstLineChars="0"/>
              <w:jc w:val="center"/>
              <w:rPr>
                <w:sz w:val="21"/>
                <w:highlight w:val="none"/>
              </w:rPr>
            </w:pPr>
            <w:r>
              <w:rPr>
                <w:sz w:val="21"/>
                <w:highlight w:val="none"/>
              </w:rPr>
              <w:t>泰山区水利局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sz w:val="21"/>
                <w:highlight w:val="none"/>
              </w:rPr>
            </w:pPr>
            <w:r>
              <w:rPr>
                <w:sz w:val="21"/>
                <w:highlight w:val="none"/>
              </w:rPr>
              <w:t>2</w:t>
            </w:r>
          </w:p>
        </w:tc>
        <w:tc>
          <w:tcPr>
            <w:tcW w:w="581" w:type="pct"/>
            <w:noWrap/>
            <w:vAlign w:val="center"/>
          </w:tcPr>
          <w:p>
            <w:pPr>
              <w:snapToGrid w:val="0"/>
              <w:spacing w:line="240" w:lineRule="auto"/>
              <w:ind w:firstLine="0" w:firstLineChars="0"/>
              <w:jc w:val="left"/>
              <w:rPr>
                <w:sz w:val="21"/>
                <w:highlight w:val="none"/>
              </w:rPr>
            </w:pPr>
            <w:r>
              <w:rPr>
                <w:sz w:val="21"/>
                <w:highlight w:val="none"/>
              </w:rPr>
              <w:t>环境监测能力提升工程</w:t>
            </w:r>
          </w:p>
        </w:tc>
        <w:tc>
          <w:tcPr>
            <w:tcW w:w="2487" w:type="pct"/>
            <w:vAlign w:val="center"/>
          </w:tcPr>
          <w:p>
            <w:pPr>
              <w:snapToGrid w:val="0"/>
              <w:spacing w:line="240" w:lineRule="auto"/>
              <w:ind w:firstLine="0" w:firstLineChars="0"/>
              <w:jc w:val="left"/>
              <w:rPr>
                <w:sz w:val="21"/>
                <w:highlight w:val="none"/>
              </w:rPr>
            </w:pPr>
            <w:r>
              <w:rPr>
                <w:sz w:val="21"/>
                <w:highlight w:val="none"/>
              </w:rPr>
              <w:t>完善</w:t>
            </w:r>
            <w:r>
              <w:rPr>
                <w:rFonts w:hint="eastAsia"/>
                <w:sz w:val="21"/>
                <w:highlight w:val="none"/>
              </w:rPr>
              <w:t>水气土</w:t>
            </w:r>
            <w:r>
              <w:rPr>
                <w:sz w:val="21"/>
                <w:highlight w:val="none"/>
              </w:rPr>
              <w:t>环境监测网络</w:t>
            </w:r>
          </w:p>
        </w:tc>
        <w:tc>
          <w:tcPr>
            <w:tcW w:w="443" w:type="pct"/>
            <w:noWrap/>
            <w:vAlign w:val="center"/>
          </w:tcPr>
          <w:p>
            <w:pPr>
              <w:snapToGrid w:val="0"/>
              <w:spacing w:line="240" w:lineRule="auto"/>
              <w:ind w:firstLine="0" w:firstLineChars="0"/>
              <w:jc w:val="center"/>
              <w:rPr>
                <w:sz w:val="21"/>
                <w:highlight w:val="none"/>
              </w:rPr>
            </w:pPr>
            <w:r>
              <w:rPr>
                <w:sz w:val="21"/>
                <w:highlight w:val="none"/>
              </w:rPr>
              <w:t>202</w:t>
            </w:r>
            <w:r>
              <w:rPr>
                <w:rFonts w:hint="eastAsia"/>
                <w:sz w:val="21"/>
                <w:highlight w:val="none"/>
              </w:rPr>
              <w:t>3</w:t>
            </w:r>
            <w:r>
              <w:rPr>
                <w:sz w:val="21"/>
                <w:highlight w:val="none"/>
              </w:rPr>
              <w:t>-2030</w:t>
            </w:r>
          </w:p>
        </w:tc>
        <w:tc>
          <w:tcPr>
            <w:tcW w:w="390" w:type="pct"/>
            <w:noWrap/>
            <w:vAlign w:val="center"/>
          </w:tcPr>
          <w:p>
            <w:pPr>
              <w:snapToGrid w:val="0"/>
              <w:spacing w:line="240" w:lineRule="auto"/>
              <w:ind w:firstLine="0" w:firstLineChars="0"/>
              <w:jc w:val="center"/>
              <w:rPr>
                <w:sz w:val="21"/>
                <w:highlight w:val="none"/>
              </w:rPr>
            </w:pPr>
            <w:r>
              <w:rPr>
                <w:sz w:val="21"/>
                <w:highlight w:val="none"/>
              </w:rPr>
              <w:t>0.07</w:t>
            </w:r>
          </w:p>
        </w:tc>
        <w:tc>
          <w:tcPr>
            <w:tcW w:w="693" w:type="pct"/>
            <w:noWrap/>
            <w:vAlign w:val="center"/>
          </w:tcPr>
          <w:p>
            <w:pPr>
              <w:snapToGrid w:val="0"/>
              <w:spacing w:line="240" w:lineRule="auto"/>
              <w:ind w:firstLine="0" w:firstLineChars="0"/>
              <w:jc w:val="center"/>
              <w:rPr>
                <w:sz w:val="21"/>
                <w:highlight w:val="none"/>
              </w:rPr>
            </w:pPr>
            <w:r>
              <w:rPr>
                <w:sz w:val="21"/>
                <w:highlight w:val="none"/>
              </w:rPr>
              <w:t>泰安市生态环境局泰山分局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sz w:val="21"/>
                <w:highlight w:val="none"/>
              </w:rPr>
            </w:pPr>
            <w:r>
              <w:rPr>
                <w:sz w:val="21"/>
                <w:highlight w:val="none"/>
              </w:rPr>
              <w:t>3</w:t>
            </w:r>
          </w:p>
        </w:tc>
        <w:tc>
          <w:tcPr>
            <w:tcW w:w="581" w:type="pct"/>
            <w:noWrap/>
            <w:vAlign w:val="center"/>
          </w:tcPr>
          <w:p>
            <w:pPr>
              <w:snapToGrid w:val="0"/>
              <w:spacing w:line="240" w:lineRule="auto"/>
              <w:ind w:firstLine="0" w:firstLineChars="0"/>
              <w:jc w:val="left"/>
              <w:rPr>
                <w:sz w:val="21"/>
                <w:highlight w:val="none"/>
              </w:rPr>
            </w:pPr>
            <w:r>
              <w:rPr>
                <w:sz w:val="21"/>
                <w:highlight w:val="none"/>
              </w:rPr>
              <w:t>环境监管能力建设工程</w:t>
            </w:r>
          </w:p>
        </w:tc>
        <w:tc>
          <w:tcPr>
            <w:tcW w:w="2487" w:type="pct"/>
            <w:vAlign w:val="center"/>
          </w:tcPr>
          <w:p>
            <w:pPr>
              <w:snapToGrid w:val="0"/>
              <w:spacing w:line="240" w:lineRule="auto"/>
              <w:ind w:firstLine="0" w:firstLineChars="0"/>
              <w:jc w:val="left"/>
              <w:rPr>
                <w:sz w:val="21"/>
                <w:highlight w:val="none"/>
              </w:rPr>
            </w:pPr>
            <w:r>
              <w:rPr>
                <w:sz w:val="21"/>
                <w:highlight w:val="none"/>
              </w:rPr>
              <w:t>在所有街道/镇配备环境监管机构和专职人员</w:t>
            </w:r>
          </w:p>
        </w:tc>
        <w:tc>
          <w:tcPr>
            <w:tcW w:w="443" w:type="pct"/>
            <w:noWrap/>
            <w:vAlign w:val="center"/>
          </w:tcPr>
          <w:p>
            <w:pPr>
              <w:snapToGrid w:val="0"/>
              <w:spacing w:line="240" w:lineRule="auto"/>
              <w:ind w:firstLine="0" w:firstLineChars="0"/>
              <w:jc w:val="center"/>
              <w:rPr>
                <w:sz w:val="21"/>
                <w:highlight w:val="none"/>
              </w:rPr>
            </w:pPr>
            <w:r>
              <w:rPr>
                <w:sz w:val="21"/>
                <w:highlight w:val="none"/>
              </w:rPr>
              <w:t>202</w:t>
            </w:r>
            <w:r>
              <w:rPr>
                <w:rFonts w:hint="eastAsia"/>
                <w:sz w:val="21"/>
                <w:highlight w:val="none"/>
              </w:rPr>
              <w:t>3</w:t>
            </w:r>
            <w:r>
              <w:rPr>
                <w:sz w:val="21"/>
                <w:highlight w:val="none"/>
              </w:rPr>
              <w:t>-2030</w:t>
            </w:r>
          </w:p>
        </w:tc>
        <w:tc>
          <w:tcPr>
            <w:tcW w:w="390" w:type="pct"/>
            <w:noWrap/>
            <w:vAlign w:val="center"/>
          </w:tcPr>
          <w:p>
            <w:pPr>
              <w:snapToGrid w:val="0"/>
              <w:spacing w:line="240" w:lineRule="auto"/>
              <w:ind w:firstLine="0" w:firstLineChars="0"/>
              <w:jc w:val="center"/>
              <w:rPr>
                <w:sz w:val="21"/>
                <w:highlight w:val="none"/>
              </w:rPr>
            </w:pPr>
            <w:r>
              <w:rPr>
                <w:sz w:val="21"/>
                <w:highlight w:val="none"/>
              </w:rPr>
              <w:t>0.02</w:t>
            </w:r>
          </w:p>
        </w:tc>
        <w:tc>
          <w:tcPr>
            <w:tcW w:w="693" w:type="pct"/>
            <w:noWrap/>
            <w:vAlign w:val="center"/>
          </w:tcPr>
          <w:p>
            <w:pPr>
              <w:snapToGrid w:val="0"/>
              <w:spacing w:line="240" w:lineRule="auto"/>
              <w:ind w:firstLine="0" w:firstLineChars="0"/>
              <w:jc w:val="center"/>
              <w:rPr>
                <w:sz w:val="21"/>
                <w:highlight w:val="none"/>
              </w:rPr>
            </w:pPr>
            <w:r>
              <w:rPr>
                <w:sz w:val="21"/>
                <w:highlight w:val="none"/>
              </w:rPr>
              <w:t>泰安市生态环境局泰山分局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sz w:val="21"/>
                <w:highlight w:val="none"/>
              </w:rPr>
            </w:pPr>
            <w:r>
              <w:rPr>
                <w:sz w:val="21"/>
                <w:highlight w:val="none"/>
              </w:rPr>
              <w:t>4</w:t>
            </w:r>
          </w:p>
        </w:tc>
        <w:tc>
          <w:tcPr>
            <w:tcW w:w="581" w:type="pct"/>
            <w:noWrap/>
            <w:vAlign w:val="center"/>
          </w:tcPr>
          <w:p>
            <w:pPr>
              <w:snapToGrid w:val="0"/>
              <w:spacing w:line="240" w:lineRule="auto"/>
              <w:ind w:firstLine="0" w:firstLineChars="0"/>
              <w:jc w:val="left"/>
              <w:rPr>
                <w:sz w:val="21"/>
                <w:highlight w:val="none"/>
              </w:rPr>
            </w:pPr>
            <w:r>
              <w:rPr>
                <w:sz w:val="21"/>
                <w:highlight w:val="none"/>
              </w:rPr>
              <w:t>生物多样性监测工程</w:t>
            </w:r>
          </w:p>
        </w:tc>
        <w:tc>
          <w:tcPr>
            <w:tcW w:w="2487" w:type="pct"/>
            <w:vAlign w:val="center"/>
          </w:tcPr>
          <w:p>
            <w:pPr>
              <w:snapToGrid w:val="0"/>
              <w:spacing w:line="240" w:lineRule="auto"/>
              <w:ind w:firstLine="0" w:firstLineChars="0"/>
              <w:jc w:val="left"/>
              <w:rPr>
                <w:sz w:val="21"/>
                <w:highlight w:val="none"/>
              </w:rPr>
            </w:pPr>
            <w:r>
              <w:rPr>
                <w:rFonts w:hint="eastAsia"/>
                <w:sz w:val="21"/>
                <w:highlight w:val="none"/>
                <w:lang w:eastAsia="zh-CN"/>
              </w:rPr>
              <w:t>加强生物多样性宣传，</w:t>
            </w:r>
            <w:r>
              <w:rPr>
                <w:sz w:val="21"/>
                <w:highlight w:val="none"/>
              </w:rPr>
              <w:t>开展自然保护地等重点区域的生物多样性</w:t>
            </w:r>
            <w:r>
              <w:rPr>
                <w:rFonts w:hint="eastAsia"/>
                <w:sz w:val="21"/>
                <w:highlight w:val="none"/>
              </w:rPr>
              <w:t>保护</w:t>
            </w:r>
            <w:r>
              <w:rPr>
                <w:sz w:val="21"/>
                <w:highlight w:val="none"/>
              </w:rPr>
              <w:t>，</w:t>
            </w:r>
            <w:r>
              <w:rPr>
                <w:rFonts w:hint="eastAsia"/>
                <w:sz w:val="21"/>
                <w:highlight w:val="none"/>
              </w:rPr>
              <w:t>逐步</w:t>
            </w:r>
            <w:r>
              <w:rPr>
                <w:sz w:val="21"/>
                <w:highlight w:val="none"/>
              </w:rPr>
              <w:t>完善生物多样性观测体系。</w:t>
            </w:r>
          </w:p>
        </w:tc>
        <w:tc>
          <w:tcPr>
            <w:tcW w:w="443" w:type="pct"/>
            <w:noWrap/>
            <w:vAlign w:val="center"/>
          </w:tcPr>
          <w:p>
            <w:pPr>
              <w:snapToGrid w:val="0"/>
              <w:spacing w:line="240" w:lineRule="auto"/>
              <w:ind w:firstLine="0" w:firstLineChars="0"/>
              <w:jc w:val="center"/>
              <w:rPr>
                <w:sz w:val="21"/>
                <w:highlight w:val="none"/>
              </w:rPr>
            </w:pPr>
            <w:r>
              <w:rPr>
                <w:sz w:val="21"/>
                <w:highlight w:val="none"/>
              </w:rPr>
              <w:t>202</w:t>
            </w:r>
            <w:r>
              <w:rPr>
                <w:rFonts w:hint="eastAsia"/>
                <w:sz w:val="21"/>
                <w:highlight w:val="none"/>
              </w:rPr>
              <w:t>3</w:t>
            </w:r>
            <w:r>
              <w:rPr>
                <w:sz w:val="21"/>
                <w:highlight w:val="none"/>
              </w:rPr>
              <w:t>-2030</w:t>
            </w:r>
          </w:p>
        </w:tc>
        <w:tc>
          <w:tcPr>
            <w:tcW w:w="390" w:type="pct"/>
            <w:noWrap/>
            <w:vAlign w:val="center"/>
          </w:tcPr>
          <w:p>
            <w:pPr>
              <w:snapToGrid w:val="0"/>
              <w:spacing w:line="240" w:lineRule="auto"/>
              <w:ind w:firstLine="0" w:firstLineChars="0"/>
              <w:jc w:val="center"/>
              <w:rPr>
                <w:sz w:val="21"/>
                <w:highlight w:val="none"/>
              </w:rPr>
            </w:pPr>
            <w:r>
              <w:rPr>
                <w:sz w:val="21"/>
                <w:highlight w:val="none"/>
              </w:rPr>
              <w:t>0.1</w:t>
            </w:r>
          </w:p>
        </w:tc>
        <w:tc>
          <w:tcPr>
            <w:tcW w:w="693" w:type="pct"/>
            <w:noWrap/>
            <w:vAlign w:val="center"/>
          </w:tcPr>
          <w:p>
            <w:pPr>
              <w:snapToGrid w:val="0"/>
              <w:spacing w:line="240" w:lineRule="auto"/>
              <w:ind w:firstLine="0" w:firstLineChars="0"/>
              <w:jc w:val="center"/>
              <w:rPr>
                <w:sz w:val="21"/>
                <w:highlight w:val="none"/>
              </w:rPr>
            </w:pPr>
            <w:r>
              <w:rPr>
                <w:sz w:val="21"/>
                <w:highlight w:val="none"/>
              </w:rPr>
              <w:t>泰安市生态环境局泰山分局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01" w:type="pct"/>
            <w:vMerge w:val="restart"/>
            <w:noWrap/>
            <w:vAlign w:val="center"/>
          </w:tcPr>
          <w:p>
            <w:pPr>
              <w:snapToGrid w:val="0"/>
              <w:spacing w:line="240" w:lineRule="auto"/>
              <w:ind w:firstLine="0" w:firstLineChars="0"/>
              <w:jc w:val="center"/>
              <w:rPr>
                <w:sz w:val="21"/>
                <w:highlight w:val="none"/>
              </w:rPr>
            </w:pPr>
            <w:r>
              <w:rPr>
                <w:sz w:val="21"/>
                <w:highlight w:val="none"/>
              </w:rPr>
              <w:t>生态安全</w:t>
            </w:r>
          </w:p>
        </w:tc>
        <w:tc>
          <w:tcPr>
            <w:tcW w:w="202" w:type="pct"/>
            <w:noWrap/>
            <w:vAlign w:val="center"/>
          </w:tcPr>
          <w:p>
            <w:pPr>
              <w:snapToGrid w:val="0"/>
              <w:spacing w:line="240" w:lineRule="auto"/>
              <w:ind w:firstLine="0" w:firstLineChars="0"/>
              <w:jc w:val="center"/>
              <w:rPr>
                <w:sz w:val="21"/>
                <w:highlight w:val="none"/>
              </w:rPr>
            </w:pPr>
            <w:r>
              <w:rPr>
                <w:sz w:val="21"/>
                <w:highlight w:val="none"/>
              </w:rPr>
              <w:t>5</w:t>
            </w:r>
          </w:p>
        </w:tc>
        <w:tc>
          <w:tcPr>
            <w:tcW w:w="581" w:type="pct"/>
            <w:noWrap/>
            <w:vAlign w:val="center"/>
          </w:tcPr>
          <w:p>
            <w:pPr>
              <w:snapToGrid w:val="0"/>
              <w:spacing w:line="240" w:lineRule="auto"/>
              <w:ind w:firstLine="0" w:firstLineChars="0"/>
              <w:jc w:val="left"/>
              <w:rPr>
                <w:sz w:val="21"/>
                <w:highlight w:val="none"/>
              </w:rPr>
            </w:pPr>
            <w:r>
              <w:rPr>
                <w:sz w:val="21"/>
                <w:highlight w:val="none"/>
              </w:rPr>
              <w:t>芝田河生态保护修复二期工程</w:t>
            </w:r>
          </w:p>
        </w:tc>
        <w:tc>
          <w:tcPr>
            <w:tcW w:w="2487" w:type="pct"/>
            <w:vAlign w:val="center"/>
          </w:tcPr>
          <w:p>
            <w:pPr>
              <w:snapToGrid w:val="0"/>
              <w:spacing w:line="240" w:lineRule="auto"/>
              <w:ind w:firstLine="0" w:firstLineChars="0"/>
              <w:jc w:val="left"/>
              <w:rPr>
                <w:sz w:val="21"/>
                <w:highlight w:val="none"/>
              </w:rPr>
            </w:pPr>
            <w:r>
              <w:rPr>
                <w:sz w:val="21"/>
                <w:highlight w:val="none"/>
              </w:rPr>
              <w:t>建设任务包括河道和道路两部分，其中河道工程建设内容为刘家庄水库溢洪闸，3.1公里河道整治、岸坡维修及护砌，新建3座钢坝和1座橡胶坝，新建及改建7座桥梁等；道路工程建设内容为刘家庄水库至环山路3.6公里路基路面，涵洞及交叉工程，道路绿化、管线及雨污水管道等。</w:t>
            </w:r>
          </w:p>
        </w:tc>
        <w:tc>
          <w:tcPr>
            <w:tcW w:w="443" w:type="pct"/>
            <w:noWrap/>
            <w:vAlign w:val="center"/>
          </w:tcPr>
          <w:p>
            <w:pPr>
              <w:snapToGrid w:val="0"/>
              <w:spacing w:line="240" w:lineRule="auto"/>
              <w:ind w:firstLine="0" w:firstLineChars="0"/>
              <w:jc w:val="center"/>
              <w:rPr>
                <w:sz w:val="21"/>
                <w:highlight w:val="none"/>
              </w:rPr>
            </w:pPr>
            <w:r>
              <w:rPr>
                <w:sz w:val="21"/>
                <w:highlight w:val="none"/>
              </w:rPr>
              <w:t>2023</w:t>
            </w:r>
          </w:p>
        </w:tc>
        <w:tc>
          <w:tcPr>
            <w:tcW w:w="390" w:type="pct"/>
            <w:noWrap/>
            <w:vAlign w:val="center"/>
          </w:tcPr>
          <w:p>
            <w:pPr>
              <w:snapToGrid w:val="0"/>
              <w:spacing w:line="240" w:lineRule="auto"/>
              <w:ind w:firstLine="0" w:firstLineChars="0"/>
              <w:jc w:val="center"/>
              <w:rPr>
                <w:sz w:val="21"/>
                <w:highlight w:val="none"/>
              </w:rPr>
            </w:pPr>
            <w:r>
              <w:rPr>
                <w:rFonts w:hint="eastAsia"/>
                <w:sz w:val="21"/>
                <w:highlight w:val="none"/>
              </w:rPr>
              <w:t>2.6</w:t>
            </w:r>
          </w:p>
        </w:tc>
        <w:tc>
          <w:tcPr>
            <w:tcW w:w="693" w:type="pct"/>
            <w:noWrap/>
            <w:vAlign w:val="center"/>
          </w:tcPr>
          <w:p>
            <w:pPr>
              <w:snapToGrid w:val="0"/>
              <w:spacing w:line="240" w:lineRule="auto"/>
              <w:ind w:firstLine="0" w:firstLineChars="0"/>
              <w:jc w:val="center"/>
              <w:rPr>
                <w:sz w:val="21"/>
                <w:highlight w:val="none"/>
              </w:rPr>
            </w:pPr>
            <w:r>
              <w:rPr>
                <w:sz w:val="21"/>
                <w:highlight w:val="none"/>
              </w:rPr>
              <w:t>泰山区水利局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sz w:val="21"/>
                <w:highlight w:val="none"/>
              </w:rPr>
            </w:pPr>
            <w:r>
              <w:rPr>
                <w:rFonts w:hint="eastAsia"/>
                <w:sz w:val="21"/>
                <w:highlight w:val="none"/>
              </w:rPr>
              <w:t>6</w:t>
            </w:r>
          </w:p>
        </w:tc>
        <w:tc>
          <w:tcPr>
            <w:tcW w:w="581" w:type="pct"/>
            <w:noWrap/>
            <w:vAlign w:val="center"/>
          </w:tcPr>
          <w:p>
            <w:pPr>
              <w:snapToGrid w:val="0"/>
              <w:spacing w:line="240" w:lineRule="auto"/>
              <w:ind w:firstLine="0" w:firstLineChars="0"/>
              <w:jc w:val="left"/>
              <w:rPr>
                <w:sz w:val="21"/>
                <w:highlight w:val="none"/>
              </w:rPr>
            </w:pPr>
            <w:r>
              <w:rPr>
                <w:sz w:val="21"/>
                <w:highlight w:val="none"/>
              </w:rPr>
              <w:t>石汶河和瀛汶河提升改造工程</w:t>
            </w:r>
          </w:p>
        </w:tc>
        <w:tc>
          <w:tcPr>
            <w:tcW w:w="2487" w:type="pct"/>
            <w:vAlign w:val="center"/>
          </w:tcPr>
          <w:p>
            <w:pPr>
              <w:snapToGrid w:val="0"/>
              <w:spacing w:line="240" w:lineRule="auto"/>
              <w:ind w:firstLine="0" w:firstLineChars="0"/>
              <w:jc w:val="left"/>
              <w:rPr>
                <w:sz w:val="21"/>
                <w:highlight w:val="none"/>
              </w:rPr>
            </w:pPr>
            <w:r>
              <w:rPr>
                <w:sz w:val="21"/>
                <w:highlight w:val="none"/>
              </w:rPr>
              <w:t>河槽整理与岸坡整治工程1处，长3.80km;现状水毁护砌修复8处，总长0.486km; 新建岸坡护砌1处，长165m;新建拦河坝1处，长280m;防汛道路提升1处，长4.28km，并配套防汛路景观绿化树木；新建穿路管涵工程1座，预留灌溉穿路管涵工程等。</w:t>
            </w:r>
          </w:p>
        </w:tc>
        <w:tc>
          <w:tcPr>
            <w:tcW w:w="443" w:type="pct"/>
            <w:noWrap/>
            <w:vAlign w:val="center"/>
          </w:tcPr>
          <w:p>
            <w:pPr>
              <w:snapToGrid w:val="0"/>
              <w:spacing w:line="240" w:lineRule="auto"/>
              <w:ind w:firstLine="0" w:firstLineChars="0"/>
              <w:jc w:val="center"/>
              <w:rPr>
                <w:sz w:val="21"/>
                <w:highlight w:val="none"/>
              </w:rPr>
            </w:pPr>
            <w:r>
              <w:rPr>
                <w:sz w:val="21"/>
                <w:highlight w:val="none"/>
              </w:rPr>
              <w:t>2023</w:t>
            </w:r>
          </w:p>
        </w:tc>
        <w:tc>
          <w:tcPr>
            <w:tcW w:w="390" w:type="pct"/>
            <w:noWrap/>
            <w:vAlign w:val="center"/>
          </w:tcPr>
          <w:p>
            <w:pPr>
              <w:snapToGrid w:val="0"/>
              <w:spacing w:line="240" w:lineRule="auto"/>
              <w:ind w:firstLine="0" w:firstLineChars="0"/>
              <w:jc w:val="center"/>
              <w:rPr>
                <w:sz w:val="21"/>
                <w:highlight w:val="none"/>
              </w:rPr>
            </w:pPr>
            <w:r>
              <w:rPr>
                <w:sz w:val="21"/>
                <w:highlight w:val="none"/>
              </w:rPr>
              <w:t>0.2785</w:t>
            </w:r>
          </w:p>
        </w:tc>
        <w:tc>
          <w:tcPr>
            <w:tcW w:w="693" w:type="pct"/>
            <w:noWrap/>
            <w:vAlign w:val="center"/>
          </w:tcPr>
          <w:p>
            <w:pPr>
              <w:snapToGrid w:val="0"/>
              <w:spacing w:line="240" w:lineRule="auto"/>
              <w:ind w:firstLine="0" w:firstLineChars="0"/>
              <w:jc w:val="center"/>
              <w:rPr>
                <w:sz w:val="21"/>
                <w:highlight w:val="none"/>
              </w:rPr>
            </w:pPr>
            <w:r>
              <w:rPr>
                <w:sz w:val="21"/>
                <w:highlight w:val="none"/>
              </w:rPr>
              <w:t>泰安市生态环境局泰山分局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 w:type="pct"/>
            <w:noWrap/>
            <w:vAlign w:val="center"/>
          </w:tcPr>
          <w:p>
            <w:pPr>
              <w:snapToGrid w:val="0"/>
              <w:spacing w:line="240" w:lineRule="auto"/>
              <w:ind w:firstLine="0" w:firstLineChars="0"/>
              <w:jc w:val="center"/>
              <w:rPr>
                <w:sz w:val="21"/>
                <w:highlight w:val="none"/>
              </w:rPr>
            </w:pPr>
            <w:r>
              <w:rPr>
                <w:sz w:val="21"/>
                <w:highlight w:val="none"/>
              </w:rPr>
              <w:t>生态空间</w:t>
            </w:r>
          </w:p>
        </w:tc>
        <w:tc>
          <w:tcPr>
            <w:tcW w:w="202" w:type="pct"/>
            <w:noWrap/>
            <w:vAlign w:val="center"/>
          </w:tcPr>
          <w:p>
            <w:pPr>
              <w:snapToGrid w:val="0"/>
              <w:spacing w:line="240" w:lineRule="auto"/>
              <w:ind w:firstLine="0" w:firstLineChars="0"/>
              <w:jc w:val="center"/>
              <w:rPr>
                <w:rFonts w:eastAsia="宋体"/>
                <w:sz w:val="21"/>
                <w:highlight w:val="none"/>
              </w:rPr>
            </w:pPr>
            <w:r>
              <w:rPr>
                <w:rFonts w:hint="eastAsia" w:eastAsia="宋体"/>
                <w:sz w:val="21"/>
                <w:highlight w:val="none"/>
              </w:rPr>
              <w:t>7</w:t>
            </w:r>
          </w:p>
        </w:tc>
        <w:tc>
          <w:tcPr>
            <w:tcW w:w="581" w:type="pct"/>
            <w:vAlign w:val="center"/>
          </w:tcPr>
          <w:p>
            <w:pPr>
              <w:snapToGrid w:val="0"/>
              <w:spacing w:line="240" w:lineRule="auto"/>
              <w:ind w:firstLine="0" w:firstLineChars="0"/>
              <w:jc w:val="left"/>
              <w:rPr>
                <w:sz w:val="21"/>
                <w:highlight w:val="none"/>
              </w:rPr>
            </w:pPr>
            <w:r>
              <w:rPr>
                <w:sz w:val="21"/>
                <w:highlight w:val="none"/>
              </w:rPr>
              <w:t>明堂河、梳洗河流域精细化环境管理项目</w:t>
            </w:r>
          </w:p>
        </w:tc>
        <w:tc>
          <w:tcPr>
            <w:tcW w:w="2487" w:type="pct"/>
            <w:vAlign w:val="center"/>
          </w:tcPr>
          <w:p>
            <w:pPr>
              <w:snapToGrid w:val="0"/>
              <w:spacing w:line="240" w:lineRule="auto"/>
              <w:ind w:firstLine="0" w:firstLineChars="0"/>
              <w:jc w:val="left"/>
              <w:rPr>
                <w:sz w:val="21"/>
                <w:highlight w:val="none"/>
              </w:rPr>
            </w:pPr>
            <w:r>
              <w:rPr>
                <w:sz w:val="21"/>
                <w:highlight w:val="none"/>
              </w:rPr>
              <w:t>对重点点位开展加密监测；对合法排污口开展规范化建设工作，设置标志牌、规范排污口监测采样点位；形成水质分析报告、城市面源污染分析报告、精细化环境管理报告等相关材料。</w:t>
            </w:r>
          </w:p>
        </w:tc>
        <w:tc>
          <w:tcPr>
            <w:tcW w:w="443" w:type="pct"/>
            <w:noWrap/>
            <w:vAlign w:val="center"/>
          </w:tcPr>
          <w:p>
            <w:pPr>
              <w:snapToGrid w:val="0"/>
              <w:spacing w:line="240" w:lineRule="auto"/>
              <w:ind w:firstLine="0" w:firstLineChars="0"/>
              <w:jc w:val="center"/>
              <w:rPr>
                <w:sz w:val="21"/>
                <w:highlight w:val="none"/>
              </w:rPr>
            </w:pPr>
            <w:r>
              <w:rPr>
                <w:sz w:val="21"/>
                <w:highlight w:val="none"/>
              </w:rPr>
              <w:t>2023</w:t>
            </w:r>
          </w:p>
        </w:tc>
        <w:tc>
          <w:tcPr>
            <w:tcW w:w="390" w:type="pct"/>
            <w:noWrap/>
            <w:vAlign w:val="center"/>
          </w:tcPr>
          <w:p>
            <w:pPr>
              <w:snapToGrid w:val="0"/>
              <w:spacing w:line="240" w:lineRule="auto"/>
              <w:ind w:firstLine="0" w:firstLineChars="0"/>
              <w:jc w:val="center"/>
              <w:rPr>
                <w:sz w:val="21"/>
                <w:highlight w:val="none"/>
              </w:rPr>
            </w:pPr>
            <w:r>
              <w:rPr>
                <w:sz w:val="21"/>
                <w:highlight w:val="none"/>
              </w:rPr>
              <w:t>0.02</w:t>
            </w:r>
          </w:p>
        </w:tc>
        <w:tc>
          <w:tcPr>
            <w:tcW w:w="693" w:type="pct"/>
            <w:noWrap/>
            <w:vAlign w:val="center"/>
          </w:tcPr>
          <w:p>
            <w:pPr>
              <w:snapToGrid w:val="0"/>
              <w:spacing w:line="240" w:lineRule="auto"/>
              <w:ind w:firstLine="0" w:firstLineChars="0"/>
              <w:jc w:val="center"/>
              <w:rPr>
                <w:sz w:val="21"/>
                <w:highlight w:val="none"/>
              </w:rPr>
            </w:pPr>
            <w:r>
              <w:rPr>
                <w:sz w:val="21"/>
                <w:highlight w:val="none"/>
              </w:rPr>
              <w:t>泰安市生态环境局泰山分局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01" w:type="pct"/>
            <w:vMerge w:val="restart"/>
            <w:noWrap/>
            <w:vAlign w:val="center"/>
          </w:tcPr>
          <w:p>
            <w:pPr>
              <w:snapToGrid w:val="0"/>
              <w:spacing w:line="240" w:lineRule="auto"/>
              <w:ind w:firstLine="0" w:firstLineChars="0"/>
              <w:jc w:val="center"/>
              <w:rPr>
                <w:sz w:val="21"/>
                <w:highlight w:val="none"/>
              </w:rPr>
            </w:pPr>
            <w:r>
              <w:rPr>
                <w:sz w:val="21"/>
                <w:highlight w:val="none"/>
              </w:rPr>
              <w:t>生态经济</w:t>
            </w:r>
          </w:p>
        </w:tc>
        <w:tc>
          <w:tcPr>
            <w:tcW w:w="202" w:type="pct"/>
            <w:noWrap/>
            <w:vAlign w:val="center"/>
          </w:tcPr>
          <w:p>
            <w:pPr>
              <w:snapToGrid w:val="0"/>
              <w:spacing w:line="240" w:lineRule="auto"/>
              <w:ind w:firstLine="0" w:firstLineChars="0"/>
              <w:jc w:val="center"/>
              <w:rPr>
                <w:rFonts w:eastAsia="宋体"/>
                <w:sz w:val="21"/>
                <w:highlight w:val="none"/>
              </w:rPr>
            </w:pPr>
            <w:r>
              <w:rPr>
                <w:rFonts w:hint="eastAsia" w:eastAsia="宋体"/>
                <w:sz w:val="21"/>
                <w:highlight w:val="none"/>
              </w:rPr>
              <w:t>8</w:t>
            </w:r>
          </w:p>
        </w:tc>
        <w:tc>
          <w:tcPr>
            <w:tcW w:w="581" w:type="pct"/>
            <w:noWrap/>
            <w:vAlign w:val="center"/>
          </w:tcPr>
          <w:p>
            <w:pPr>
              <w:snapToGrid w:val="0"/>
              <w:spacing w:line="240" w:lineRule="auto"/>
              <w:ind w:firstLine="0" w:firstLineChars="0"/>
              <w:jc w:val="left"/>
              <w:rPr>
                <w:sz w:val="21"/>
                <w:highlight w:val="none"/>
              </w:rPr>
            </w:pPr>
            <w:r>
              <w:rPr>
                <w:sz w:val="21"/>
                <w:highlight w:val="none"/>
              </w:rPr>
              <w:t>泰安跨境城市配仓产业园项目</w:t>
            </w:r>
          </w:p>
        </w:tc>
        <w:tc>
          <w:tcPr>
            <w:tcW w:w="2487" w:type="pct"/>
            <w:vAlign w:val="center"/>
          </w:tcPr>
          <w:p>
            <w:pPr>
              <w:snapToGrid w:val="0"/>
              <w:spacing w:line="240" w:lineRule="auto"/>
              <w:ind w:firstLine="0" w:firstLineChars="0"/>
              <w:jc w:val="left"/>
              <w:rPr>
                <w:sz w:val="21"/>
                <w:highlight w:val="none"/>
              </w:rPr>
            </w:pPr>
            <w:r>
              <w:rPr>
                <w:sz w:val="21"/>
                <w:highlight w:val="none"/>
              </w:rPr>
              <w:t>占地面积约100亩，规划建筑面积约10万平方米，主要建设跨境电商、冷链仓储、仓储物流、直播电商、孵化基地、旅游产品、种业科研等多元化、智能化仓储物流等业态。</w:t>
            </w:r>
          </w:p>
        </w:tc>
        <w:tc>
          <w:tcPr>
            <w:tcW w:w="443" w:type="pct"/>
            <w:noWrap/>
            <w:vAlign w:val="center"/>
          </w:tcPr>
          <w:p>
            <w:pPr>
              <w:snapToGrid w:val="0"/>
              <w:spacing w:line="240" w:lineRule="auto"/>
              <w:ind w:firstLine="0" w:firstLineChars="0"/>
              <w:jc w:val="center"/>
              <w:rPr>
                <w:sz w:val="21"/>
                <w:highlight w:val="none"/>
              </w:rPr>
            </w:pPr>
            <w:r>
              <w:rPr>
                <w:sz w:val="21"/>
                <w:highlight w:val="none"/>
              </w:rPr>
              <w:t>202</w:t>
            </w:r>
            <w:r>
              <w:rPr>
                <w:rFonts w:hint="eastAsia"/>
                <w:sz w:val="21"/>
                <w:highlight w:val="none"/>
              </w:rPr>
              <w:t>3</w:t>
            </w:r>
            <w:r>
              <w:rPr>
                <w:sz w:val="21"/>
                <w:highlight w:val="none"/>
              </w:rPr>
              <w:t>-2026</w:t>
            </w:r>
          </w:p>
        </w:tc>
        <w:tc>
          <w:tcPr>
            <w:tcW w:w="390" w:type="pct"/>
            <w:noWrap/>
            <w:vAlign w:val="center"/>
          </w:tcPr>
          <w:p>
            <w:pPr>
              <w:snapToGrid w:val="0"/>
              <w:spacing w:line="240" w:lineRule="auto"/>
              <w:ind w:firstLine="0" w:firstLineChars="0"/>
              <w:jc w:val="center"/>
              <w:rPr>
                <w:sz w:val="21"/>
                <w:highlight w:val="none"/>
              </w:rPr>
            </w:pPr>
            <w:r>
              <w:rPr>
                <w:sz w:val="21"/>
                <w:highlight w:val="none"/>
              </w:rPr>
              <w:t>5</w:t>
            </w:r>
          </w:p>
        </w:tc>
        <w:tc>
          <w:tcPr>
            <w:tcW w:w="693" w:type="pct"/>
            <w:noWrap/>
            <w:vAlign w:val="center"/>
          </w:tcPr>
          <w:p>
            <w:pPr>
              <w:snapToGrid w:val="0"/>
              <w:spacing w:line="240" w:lineRule="auto"/>
              <w:ind w:firstLine="0" w:firstLineChars="0"/>
              <w:jc w:val="center"/>
              <w:rPr>
                <w:sz w:val="21"/>
                <w:highlight w:val="none"/>
              </w:rPr>
            </w:pPr>
            <w:r>
              <w:rPr>
                <w:sz w:val="21"/>
                <w:highlight w:val="none"/>
              </w:rPr>
              <w:t>上高街道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rFonts w:hint="eastAsia"/>
                <w:sz w:val="21"/>
                <w:highlight w:val="none"/>
              </w:rPr>
              <w:t>9</w:t>
            </w:r>
          </w:p>
        </w:tc>
        <w:tc>
          <w:tcPr>
            <w:tcW w:w="581" w:type="pct"/>
            <w:noWrap/>
            <w:vAlign w:val="center"/>
          </w:tcPr>
          <w:p>
            <w:pPr>
              <w:snapToGrid w:val="0"/>
              <w:spacing w:line="240" w:lineRule="auto"/>
              <w:ind w:firstLine="0" w:firstLineChars="0"/>
              <w:jc w:val="left"/>
              <w:rPr>
                <w:sz w:val="21"/>
                <w:highlight w:val="none"/>
              </w:rPr>
            </w:pPr>
            <w:r>
              <w:rPr>
                <w:sz w:val="21"/>
                <w:highlight w:val="none"/>
              </w:rPr>
              <w:t>10千伏配电网供电能力提升工程</w:t>
            </w:r>
          </w:p>
        </w:tc>
        <w:tc>
          <w:tcPr>
            <w:tcW w:w="2487" w:type="pct"/>
            <w:vAlign w:val="center"/>
          </w:tcPr>
          <w:p>
            <w:pPr>
              <w:snapToGrid w:val="0"/>
              <w:spacing w:line="240" w:lineRule="auto"/>
              <w:ind w:firstLine="0" w:firstLineChars="0"/>
              <w:jc w:val="left"/>
              <w:rPr>
                <w:sz w:val="21"/>
                <w:highlight w:val="none"/>
              </w:rPr>
            </w:pPr>
            <w:r>
              <w:rPr>
                <w:sz w:val="21"/>
                <w:highlight w:val="none"/>
              </w:rPr>
              <w:t>计划投资6800万元，实施110千伏财源变电站10千伏线路配出工程，新建财西2线等5条线路以及三厂线与黄山线等12条延伸线路，对东区线、南湖线、12个台区进行改造，对铁东线等9条线路及望山花园等22个台区进行低压线路维修，实现泰山区10千伏配电网网架结构进一步优化、供电可靠性进一步提升，助力营商环境更加优化。</w:t>
            </w:r>
          </w:p>
        </w:tc>
        <w:tc>
          <w:tcPr>
            <w:tcW w:w="443" w:type="pct"/>
            <w:noWrap/>
            <w:vAlign w:val="center"/>
          </w:tcPr>
          <w:p>
            <w:pPr>
              <w:snapToGrid w:val="0"/>
              <w:spacing w:line="240" w:lineRule="auto"/>
              <w:ind w:firstLine="0" w:firstLineChars="0"/>
              <w:jc w:val="center"/>
              <w:rPr>
                <w:sz w:val="21"/>
                <w:highlight w:val="none"/>
              </w:rPr>
            </w:pPr>
            <w:r>
              <w:rPr>
                <w:sz w:val="21"/>
                <w:highlight w:val="none"/>
              </w:rPr>
              <w:t>2023-2025</w:t>
            </w:r>
          </w:p>
        </w:tc>
        <w:tc>
          <w:tcPr>
            <w:tcW w:w="390" w:type="pct"/>
            <w:noWrap/>
            <w:vAlign w:val="center"/>
          </w:tcPr>
          <w:p>
            <w:pPr>
              <w:snapToGrid w:val="0"/>
              <w:spacing w:line="240" w:lineRule="auto"/>
              <w:ind w:firstLine="0" w:firstLineChars="0"/>
              <w:jc w:val="center"/>
              <w:rPr>
                <w:sz w:val="21"/>
                <w:highlight w:val="none"/>
              </w:rPr>
            </w:pPr>
            <w:r>
              <w:rPr>
                <w:sz w:val="21"/>
                <w:highlight w:val="none"/>
              </w:rPr>
              <w:t>0.68</w:t>
            </w:r>
          </w:p>
        </w:tc>
        <w:tc>
          <w:tcPr>
            <w:tcW w:w="693" w:type="pct"/>
            <w:noWrap/>
            <w:vAlign w:val="center"/>
          </w:tcPr>
          <w:p>
            <w:pPr>
              <w:snapToGrid w:val="0"/>
              <w:spacing w:line="240" w:lineRule="auto"/>
              <w:ind w:firstLine="0" w:firstLineChars="0"/>
              <w:jc w:val="center"/>
              <w:rPr>
                <w:sz w:val="21"/>
                <w:highlight w:val="none"/>
              </w:rPr>
            </w:pPr>
            <w:r>
              <w:rPr>
                <w:sz w:val="21"/>
                <w:highlight w:val="none"/>
              </w:rPr>
              <w:t>泰山供电中心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rFonts w:hint="eastAsia" w:eastAsia="宋体"/>
                <w:sz w:val="21"/>
                <w:highlight w:val="none"/>
              </w:rPr>
              <w:t>10</w:t>
            </w:r>
          </w:p>
        </w:tc>
        <w:tc>
          <w:tcPr>
            <w:tcW w:w="581" w:type="pct"/>
            <w:noWrap/>
            <w:vAlign w:val="center"/>
          </w:tcPr>
          <w:p>
            <w:pPr>
              <w:snapToGrid w:val="0"/>
              <w:spacing w:line="240" w:lineRule="auto"/>
              <w:ind w:firstLine="0" w:firstLineChars="0"/>
              <w:jc w:val="left"/>
              <w:rPr>
                <w:sz w:val="21"/>
                <w:highlight w:val="none"/>
              </w:rPr>
            </w:pPr>
            <w:r>
              <w:rPr>
                <w:sz w:val="21"/>
                <w:highlight w:val="none"/>
              </w:rPr>
              <w:t>泰山民生物流园基础设施配套建设工程</w:t>
            </w:r>
          </w:p>
        </w:tc>
        <w:tc>
          <w:tcPr>
            <w:tcW w:w="2487" w:type="pct"/>
            <w:vAlign w:val="center"/>
          </w:tcPr>
          <w:p>
            <w:pPr>
              <w:snapToGrid w:val="0"/>
              <w:spacing w:line="240" w:lineRule="auto"/>
              <w:ind w:firstLine="0" w:firstLineChars="0"/>
              <w:jc w:val="left"/>
              <w:rPr>
                <w:sz w:val="21"/>
                <w:highlight w:val="none"/>
              </w:rPr>
            </w:pPr>
            <w:r>
              <w:rPr>
                <w:sz w:val="21"/>
                <w:highlight w:val="none"/>
              </w:rPr>
              <w:t>新建物流园道路12公里，同步建设提升绿化、路灯、安保等设施；新架设和改造供电线路15公里，铺设供水、排水管网23公里，建设物流园服务中心、信息化交易平台中心及冷库、配送中心、污水处理厂、垃圾绿色分拣处理中心等配套设施28000平方米。</w:t>
            </w:r>
          </w:p>
        </w:tc>
        <w:tc>
          <w:tcPr>
            <w:tcW w:w="443" w:type="pct"/>
            <w:noWrap/>
            <w:vAlign w:val="center"/>
          </w:tcPr>
          <w:p>
            <w:pPr>
              <w:snapToGrid w:val="0"/>
              <w:spacing w:line="240" w:lineRule="auto"/>
              <w:ind w:firstLine="0" w:firstLineChars="0"/>
              <w:jc w:val="center"/>
              <w:rPr>
                <w:sz w:val="21"/>
                <w:highlight w:val="none"/>
              </w:rPr>
            </w:pPr>
            <w:r>
              <w:rPr>
                <w:sz w:val="21"/>
                <w:highlight w:val="none"/>
              </w:rPr>
              <w:t>2023</w:t>
            </w:r>
          </w:p>
        </w:tc>
        <w:tc>
          <w:tcPr>
            <w:tcW w:w="390" w:type="pct"/>
            <w:noWrap/>
            <w:vAlign w:val="center"/>
          </w:tcPr>
          <w:p>
            <w:pPr>
              <w:snapToGrid w:val="0"/>
              <w:spacing w:line="240" w:lineRule="auto"/>
              <w:ind w:firstLine="0" w:firstLineChars="0"/>
              <w:jc w:val="center"/>
              <w:rPr>
                <w:sz w:val="21"/>
                <w:highlight w:val="none"/>
              </w:rPr>
            </w:pPr>
            <w:r>
              <w:rPr>
                <w:sz w:val="21"/>
                <w:highlight w:val="none"/>
              </w:rPr>
              <w:t>0.85</w:t>
            </w:r>
          </w:p>
        </w:tc>
        <w:tc>
          <w:tcPr>
            <w:tcW w:w="693" w:type="pct"/>
            <w:noWrap/>
            <w:vAlign w:val="center"/>
          </w:tcPr>
          <w:p>
            <w:pPr>
              <w:snapToGrid w:val="0"/>
              <w:spacing w:line="240" w:lineRule="auto"/>
              <w:ind w:firstLine="0" w:firstLineChars="0"/>
              <w:jc w:val="center"/>
              <w:rPr>
                <w:sz w:val="21"/>
                <w:highlight w:val="none"/>
              </w:rPr>
            </w:pPr>
            <w:r>
              <w:rPr>
                <w:sz w:val="21"/>
                <w:highlight w:val="none"/>
              </w:rPr>
              <w:t>邱家店镇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rFonts w:hint="eastAsia" w:eastAsia="宋体"/>
                <w:sz w:val="21"/>
                <w:highlight w:val="none"/>
              </w:rPr>
              <w:t>11</w:t>
            </w:r>
          </w:p>
        </w:tc>
        <w:tc>
          <w:tcPr>
            <w:tcW w:w="581" w:type="pct"/>
            <w:noWrap/>
            <w:vAlign w:val="center"/>
          </w:tcPr>
          <w:p>
            <w:pPr>
              <w:snapToGrid w:val="0"/>
              <w:spacing w:line="240" w:lineRule="auto"/>
              <w:ind w:firstLine="0" w:firstLineChars="0"/>
              <w:jc w:val="left"/>
              <w:rPr>
                <w:sz w:val="21"/>
                <w:highlight w:val="none"/>
              </w:rPr>
            </w:pPr>
            <w:r>
              <w:rPr>
                <w:sz w:val="21"/>
                <w:highlight w:val="none"/>
              </w:rPr>
              <w:t>泰山区2022年化肥减量增效项目</w:t>
            </w:r>
          </w:p>
        </w:tc>
        <w:tc>
          <w:tcPr>
            <w:tcW w:w="2487" w:type="pct"/>
            <w:vAlign w:val="center"/>
          </w:tcPr>
          <w:p>
            <w:pPr>
              <w:snapToGrid w:val="0"/>
              <w:spacing w:line="240" w:lineRule="auto"/>
              <w:ind w:firstLine="0" w:firstLineChars="0"/>
              <w:jc w:val="left"/>
              <w:rPr>
                <w:sz w:val="21"/>
                <w:highlight w:val="none"/>
              </w:rPr>
            </w:pPr>
            <w:r>
              <w:rPr>
                <w:sz w:val="21"/>
                <w:highlight w:val="none"/>
              </w:rPr>
              <w:t>开展田间试验、调查施肥状况、开展</w:t>
            </w:r>
            <w:r>
              <w:rPr>
                <w:rFonts w:hint="eastAsia"/>
                <w:sz w:val="21"/>
                <w:highlight w:val="none"/>
              </w:rPr>
              <w:t>“</w:t>
            </w:r>
            <w:r>
              <w:rPr>
                <w:sz w:val="21"/>
                <w:highlight w:val="none"/>
              </w:rPr>
              <w:t>三新</w:t>
            </w:r>
            <w:r>
              <w:rPr>
                <w:rFonts w:hint="eastAsia"/>
                <w:sz w:val="21"/>
                <w:highlight w:val="none"/>
              </w:rPr>
              <w:t>”</w:t>
            </w:r>
            <w:r>
              <w:rPr>
                <w:sz w:val="21"/>
                <w:highlight w:val="none"/>
              </w:rPr>
              <w:t>配套技术示范、深化普及测土配方施肥技术。</w:t>
            </w:r>
          </w:p>
        </w:tc>
        <w:tc>
          <w:tcPr>
            <w:tcW w:w="443" w:type="pct"/>
            <w:noWrap/>
            <w:vAlign w:val="center"/>
          </w:tcPr>
          <w:p>
            <w:pPr>
              <w:snapToGrid w:val="0"/>
              <w:spacing w:line="240" w:lineRule="auto"/>
              <w:ind w:firstLine="0" w:firstLineChars="0"/>
              <w:jc w:val="center"/>
              <w:rPr>
                <w:sz w:val="21"/>
                <w:highlight w:val="none"/>
              </w:rPr>
            </w:pPr>
            <w:r>
              <w:rPr>
                <w:sz w:val="21"/>
                <w:highlight w:val="none"/>
              </w:rPr>
              <w:t>2023</w:t>
            </w:r>
          </w:p>
        </w:tc>
        <w:tc>
          <w:tcPr>
            <w:tcW w:w="390" w:type="pct"/>
            <w:noWrap/>
            <w:vAlign w:val="center"/>
          </w:tcPr>
          <w:p>
            <w:pPr>
              <w:snapToGrid w:val="0"/>
              <w:spacing w:line="240" w:lineRule="auto"/>
              <w:ind w:firstLine="0" w:firstLineChars="0"/>
              <w:jc w:val="center"/>
              <w:rPr>
                <w:sz w:val="21"/>
                <w:highlight w:val="none"/>
              </w:rPr>
            </w:pPr>
            <w:r>
              <w:rPr>
                <w:sz w:val="21"/>
                <w:highlight w:val="none"/>
              </w:rPr>
              <w:t>0.0039</w:t>
            </w:r>
          </w:p>
        </w:tc>
        <w:tc>
          <w:tcPr>
            <w:tcW w:w="693" w:type="pct"/>
            <w:noWrap/>
            <w:vAlign w:val="center"/>
          </w:tcPr>
          <w:p>
            <w:pPr>
              <w:snapToGrid w:val="0"/>
              <w:spacing w:line="240" w:lineRule="auto"/>
              <w:ind w:firstLine="0" w:firstLineChars="0"/>
              <w:jc w:val="center"/>
              <w:rPr>
                <w:sz w:val="21"/>
                <w:highlight w:val="none"/>
              </w:rPr>
            </w:pPr>
            <w:r>
              <w:rPr>
                <w:sz w:val="21"/>
                <w:highlight w:val="none"/>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rFonts w:hint="eastAsia" w:eastAsia="宋体"/>
                <w:sz w:val="21"/>
                <w:highlight w:val="none"/>
              </w:rPr>
              <w:t>12</w:t>
            </w:r>
          </w:p>
        </w:tc>
        <w:tc>
          <w:tcPr>
            <w:tcW w:w="581" w:type="pct"/>
            <w:vAlign w:val="center"/>
          </w:tcPr>
          <w:p>
            <w:pPr>
              <w:snapToGrid w:val="0"/>
              <w:spacing w:line="240" w:lineRule="auto"/>
              <w:ind w:firstLine="0" w:firstLineChars="0"/>
              <w:jc w:val="left"/>
              <w:rPr>
                <w:sz w:val="21"/>
                <w:highlight w:val="none"/>
              </w:rPr>
            </w:pPr>
            <w:r>
              <w:rPr>
                <w:sz w:val="21"/>
                <w:highlight w:val="none"/>
              </w:rPr>
              <w:t>泰山区秸秆禁烧</w:t>
            </w:r>
            <w:r>
              <w:rPr>
                <w:rFonts w:hint="eastAsia"/>
                <w:sz w:val="21"/>
                <w:highlight w:val="none"/>
              </w:rPr>
              <w:t>“</w:t>
            </w:r>
            <w:r>
              <w:rPr>
                <w:sz w:val="21"/>
                <w:highlight w:val="none"/>
              </w:rPr>
              <w:t>智慧天眼</w:t>
            </w:r>
            <w:r>
              <w:rPr>
                <w:rFonts w:hint="eastAsia"/>
                <w:sz w:val="21"/>
                <w:highlight w:val="none"/>
              </w:rPr>
              <w:t>”</w:t>
            </w:r>
            <w:r>
              <w:rPr>
                <w:sz w:val="21"/>
                <w:highlight w:val="none"/>
              </w:rPr>
              <w:t>系统建设项目</w:t>
            </w:r>
          </w:p>
        </w:tc>
        <w:tc>
          <w:tcPr>
            <w:tcW w:w="2487" w:type="pct"/>
            <w:vAlign w:val="center"/>
          </w:tcPr>
          <w:p>
            <w:pPr>
              <w:snapToGrid w:val="0"/>
              <w:spacing w:line="240" w:lineRule="auto"/>
              <w:ind w:firstLine="0" w:firstLineChars="0"/>
              <w:jc w:val="left"/>
              <w:rPr>
                <w:sz w:val="21"/>
                <w:highlight w:val="none"/>
              </w:rPr>
            </w:pPr>
            <w:r>
              <w:rPr>
                <w:sz w:val="21"/>
                <w:highlight w:val="none"/>
              </w:rPr>
              <w:t>搭建泰山区域内秸秆禁烧</w:t>
            </w:r>
            <w:r>
              <w:rPr>
                <w:rFonts w:hint="eastAsia"/>
                <w:sz w:val="21"/>
                <w:highlight w:val="none"/>
              </w:rPr>
              <w:t>“</w:t>
            </w:r>
            <w:r>
              <w:rPr>
                <w:sz w:val="21"/>
                <w:highlight w:val="none"/>
              </w:rPr>
              <w:t>智慧天眼</w:t>
            </w:r>
            <w:r>
              <w:rPr>
                <w:rFonts w:hint="eastAsia"/>
                <w:sz w:val="21"/>
                <w:highlight w:val="none"/>
              </w:rPr>
              <w:t>”</w:t>
            </w:r>
            <w:r>
              <w:rPr>
                <w:sz w:val="21"/>
                <w:highlight w:val="none"/>
              </w:rPr>
              <w:t>系统，系统由前端系统、传输网络、监控平台三大部分组成。针对泰山区农耕土地秸秆燃烧现象，依托现有通信高塔站址资源新建前端感知系统对农耕土地进行视频覆盖。</w:t>
            </w:r>
          </w:p>
        </w:tc>
        <w:tc>
          <w:tcPr>
            <w:tcW w:w="443" w:type="pct"/>
            <w:noWrap/>
            <w:vAlign w:val="center"/>
          </w:tcPr>
          <w:p>
            <w:pPr>
              <w:snapToGrid w:val="0"/>
              <w:spacing w:line="240" w:lineRule="auto"/>
              <w:ind w:firstLine="0" w:firstLineChars="0"/>
              <w:jc w:val="center"/>
              <w:rPr>
                <w:sz w:val="21"/>
                <w:highlight w:val="none"/>
              </w:rPr>
            </w:pPr>
            <w:r>
              <w:rPr>
                <w:sz w:val="21"/>
                <w:highlight w:val="none"/>
              </w:rPr>
              <w:t>202</w:t>
            </w:r>
            <w:r>
              <w:rPr>
                <w:rFonts w:hint="eastAsia"/>
                <w:sz w:val="21"/>
                <w:highlight w:val="none"/>
              </w:rPr>
              <w:t>3</w:t>
            </w:r>
            <w:r>
              <w:rPr>
                <w:sz w:val="21"/>
                <w:highlight w:val="none"/>
              </w:rPr>
              <w:t>-2027</w:t>
            </w:r>
          </w:p>
        </w:tc>
        <w:tc>
          <w:tcPr>
            <w:tcW w:w="390" w:type="pct"/>
            <w:noWrap/>
            <w:vAlign w:val="center"/>
          </w:tcPr>
          <w:p>
            <w:pPr>
              <w:snapToGrid w:val="0"/>
              <w:spacing w:line="240" w:lineRule="auto"/>
              <w:ind w:firstLine="0" w:firstLineChars="0"/>
              <w:jc w:val="center"/>
              <w:rPr>
                <w:sz w:val="21"/>
                <w:highlight w:val="none"/>
              </w:rPr>
            </w:pPr>
            <w:r>
              <w:rPr>
                <w:sz w:val="21"/>
                <w:highlight w:val="none"/>
              </w:rPr>
              <w:t>0.02</w:t>
            </w:r>
          </w:p>
        </w:tc>
        <w:tc>
          <w:tcPr>
            <w:tcW w:w="693" w:type="pct"/>
            <w:noWrap/>
            <w:vAlign w:val="center"/>
          </w:tcPr>
          <w:p>
            <w:pPr>
              <w:snapToGrid w:val="0"/>
              <w:spacing w:line="240" w:lineRule="auto"/>
              <w:ind w:firstLine="0" w:firstLineChars="0"/>
              <w:jc w:val="center"/>
              <w:rPr>
                <w:sz w:val="21"/>
                <w:highlight w:val="none"/>
              </w:rPr>
            </w:pPr>
            <w:r>
              <w:rPr>
                <w:sz w:val="21"/>
                <w:highlight w:val="none"/>
              </w:rPr>
              <w:t>泰安市生态环境局泰山分局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01" w:type="pct"/>
            <w:vMerge w:val="restart"/>
            <w:noWrap/>
            <w:vAlign w:val="center"/>
          </w:tcPr>
          <w:p>
            <w:pPr>
              <w:snapToGrid w:val="0"/>
              <w:spacing w:line="240" w:lineRule="auto"/>
              <w:ind w:firstLine="0" w:firstLineChars="0"/>
              <w:jc w:val="center"/>
              <w:rPr>
                <w:sz w:val="21"/>
                <w:highlight w:val="none"/>
              </w:rPr>
            </w:pPr>
            <w:r>
              <w:rPr>
                <w:sz w:val="21"/>
                <w:highlight w:val="none"/>
              </w:rPr>
              <w:t>生态生活</w:t>
            </w:r>
          </w:p>
        </w:tc>
        <w:tc>
          <w:tcPr>
            <w:tcW w:w="202" w:type="pct"/>
            <w:noWrap/>
            <w:vAlign w:val="center"/>
          </w:tcPr>
          <w:p>
            <w:pPr>
              <w:snapToGrid w:val="0"/>
              <w:spacing w:line="240" w:lineRule="auto"/>
              <w:ind w:firstLine="0" w:firstLineChars="0"/>
              <w:jc w:val="center"/>
              <w:rPr>
                <w:rFonts w:eastAsia="宋体"/>
                <w:sz w:val="21"/>
                <w:highlight w:val="none"/>
              </w:rPr>
            </w:pPr>
            <w:r>
              <w:rPr>
                <w:rFonts w:hint="eastAsia" w:eastAsia="宋体"/>
                <w:sz w:val="21"/>
                <w:highlight w:val="none"/>
              </w:rPr>
              <w:t>13</w:t>
            </w:r>
          </w:p>
        </w:tc>
        <w:tc>
          <w:tcPr>
            <w:tcW w:w="581" w:type="pct"/>
            <w:noWrap/>
            <w:vAlign w:val="center"/>
          </w:tcPr>
          <w:p>
            <w:pPr>
              <w:snapToGrid w:val="0"/>
              <w:spacing w:line="240" w:lineRule="auto"/>
              <w:ind w:firstLine="0" w:firstLineChars="0"/>
              <w:jc w:val="left"/>
              <w:rPr>
                <w:sz w:val="21"/>
                <w:highlight w:val="none"/>
              </w:rPr>
            </w:pPr>
            <w:r>
              <w:rPr>
                <w:sz w:val="21"/>
                <w:highlight w:val="none"/>
              </w:rPr>
              <w:t>省级美丽乡村示范村创建项目</w:t>
            </w:r>
          </w:p>
        </w:tc>
        <w:tc>
          <w:tcPr>
            <w:tcW w:w="2487" w:type="pct"/>
            <w:vAlign w:val="center"/>
          </w:tcPr>
          <w:p>
            <w:pPr>
              <w:snapToGrid w:val="0"/>
              <w:spacing w:line="240" w:lineRule="auto"/>
              <w:ind w:firstLine="0" w:firstLineChars="0"/>
              <w:jc w:val="left"/>
              <w:rPr>
                <w:sz w:val="21"/>
                <w:highlight w:val="none"/>
              </w:rPr>
            </w:pPr>
            <w:r>
              <w:rPr>
                <w:sz w:val="21"/>
                <w:highlight w:val="none"/>
              </w:rPr>
              <w:t>沿河及村庄亮化美化完善配套设施，指示牌设立，沿河道路硬化及配套设施，绿化提升等项目。</w:t>
            </w:r>
          </w:p>
        </w:tc>
        <w:tc>
          <w:tcPr>
            <w:tcW w:w="443" w:type="pct"/>
            <w:noWrap/>
            <w:vAlign w:val="center"/>
          </w:tcPr>
          <w:p>
            <w:pPr>
              <w:snapToGrid w:val="0"/>
              <w:spacing w:line="240" w:lineRule="auto"/>
              <w:ind w:firstLine="0" w:firstLineChars="0"/>
              <w:jc w:val="center"/>
              <w:rPr>
                <w:sz w:val="21"/>
                <w:highlight w:val="none"/>
              </w:rPr>
            </w:pPr>
            <w:r>
              <w:rPr>
                <w:sz w:val="21"/>
                <w:highlight w:val="none"/>
              </w:rPr>
              <w:t>2023</w:t>
            </w:r>
          </w:p>
        </w:tc>
        <w:tc>
          <w:tcPr>
            <w:tcW w:w="390" w:type="pct"/>
            <w:noWrap/>
            <w:vAlign w:val="center"/>
          </w:tcPr>
          <w:p>
            <w:pPr>
              <w:snapToGrid w:val="0"/>
              <w:spacing w:line="240" w:lineRule="auto"/>
              <w:ind w:firstLine="0" w:firstLineChars="0"/>
              <w:jc w:val="center"/>
              <w:rPr>
                <w:sz w:val="21"/>
                <w:highlight w:val="none"/>
              </w:rPr>
            </w:pPr>
            <w:r>
              <w:rPr>
                <w:sz w:val="21"/>
                <w:highlight w:val="none"/>
              </w:rPr>
              <w:t>0.0286</w:t>
            </w:r>
          </w:p>
        </w:tc>
        <w:tc>
          <w:tcPr>
            <w:tcW w:w="693" w:type="pct"/>
            <w:noWrap/>
            <w:vAlign w:val="center"/>
          </w:tcPr>
          <w:p>
            <w:pPr>
              <w:snapToGrid w:val="0"/>
              <w:spacing w:line="240" w:lineRule="auto"/>
              <w:ind w:firstLine="0" w:firstLineChars="0"/>
              <w:jc w:val="center"/>
              <w:rPr>
                <w:sz w:val="21"/>
                <w:highlight w:val="none"/>
              </w:rPr>
            </w:pPr>
            <w:r>
              <w:rPr>
                <w:sz w:val="21"/>
                <w:highlight w:val="none"/>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rFonts w:hint="eastAsia" w:eastAsia="宋体"/>
                <w:sz w:val="21"/>
                <w:highlight w:val="none"/>
              </w:rPr>
              <w:t>14</w:t>
            </w:r>
          </w:p>
        </w:tc>
        <w:tc>
          <w:tcPr>
            <w:tcW w:w="581" w:type="pct"/>
            <w:noWrap/>
            <w:vAlign w:val="center"/>
          </w:tcPr>
          <w:p>
            <w:pPr>
              <w:snapToGrid w:val="0"/>
              <w:spacing w:line="240" w:lineRule="auto"/>
              <w:ind w:firstLine="0" w:firstLineChars="0"/>
              <w:jc w:val="left"/>
              <w:rPr>
                <w:rFonts w:eastAsia="宋体"/>
                <w:sz w:val="21"/>
                <w:highlight w:val="none"/>
              </w:rPr>
            </w:pPr>
            <w:r>
              <w:rPr>
                <w:sz w:val="21"/>
                <w:highlight w:val="none"/>
              </w:rPr>
              <w:t>泰安市泰山区农村生活污水治理项目</w:t>
            </w:r>
          </w:p>
        </w:tc>
        <w:tc>
          <w:tcPr>
            <w:tcW w:w="2487" w:type="pct"/>
            <w:vAlign w:val="center"/>
          </w:tcPr>
          <w:p>
            <w:pPr>
              <w:snapToGrid w:val="0"/>
              <w:spacing w:line="240" w:lineRule="auto"/>
              <w:ind w:firstLine="0" w:firstLineChars="0"/>
              <w:jc w:val="left"/>
              <w:rPr>
                <w:rFonts w:eastAsia="宋体"/>
                <w:sz w:val="21"/>
                <w:highlight w:val="none"/>
              </w:rPr>
            </w:pPr>
            <w:r>
              <w:rPr>
                <w:sz w:val="21"/>
                <w:highlight w:val="none"/>
              </w:rPr>
              <w:t>在16个新增需进行农村生活污水治理的村庄，59个完成农村生活污水治理需巩固提升的村庄，9个环山路以北区域村庄，新建污水收集管网1668.13km，或其他污水资源化利用设施。</w:t>
            </w:r>
          </w:p>
        </w:tc>
        <w:tc>
          <w:tcPr>
            <w:tcW w:w="443" w:type="pct"/>
            <w:noWrap/>
            <w:vAlign w:val="center"/>
          </w:tcPr>
          <w:p>
            <w:pPr>
              <w:snapToGrid w:val="0"/>
              <w:spacing w:line="240" w:lineRule="auto"/>
              <w:ind w:firstLine="0" w:firstLineChars="0"/>
              <w:jc w:val="center"/>
              <w:rPr>
                <w:rFonts w:eastAsia="宋体"/>
                <w:sz w:val="21"/>
                <w:highlight w:val="none"/>
              </w:rPr>
            </w:pPr>
            <w:r>
              <w:rPr>
                <w:sz w:val="21"/>
                <w:highlight w:val="none"/>
              </w:rPr>
              <w:t>2023-2025</w:t>
            </w:r>
          </w:p>
        </w:tc>
        <w:tc>
          <w:tcPr>
            <w:tcW w:w="390" w:type="pct"/>
            <w:noWrap/>
            <w:vAlign w:val="center"/>
          </w:tcPr>
          <w:p>
            <w:pPr>
              <w:snapToGrid w:val="0"/>
              <w:spacing w:line="240" w:lineRule="auto"/>
              <w:ind w:firstLine="0" w:firstLineChars="0"/>
              <w:jc w:val="center"/>
              <w:rPr>
                <w:rFonts w:eastAsia="宋体"/>
                <w:sz w:val="21"/>
                <w:highlight w:val="none"/>
              </w:rPr>
            </w:pPr>
            <w:r>
              <w:rPr>
                <w:sz w:val="21"/>
                <w:highlight w:val="none"/>
              </w:rPr>
              <w:t>3.04</w:t>
            </w:r>
          </w:p>
        </w:tc>
        <w:tc>
          <w:tcPr>
            <w:tcW w:w="693" w:type="pct"/>
            <w:noWrap/>
            <w:vAlign w:val="center"/>
          </w:tcPr>
          <w:p>
            <w:pPr>
              <w:snapToGrid w:val="0"/>
              <w:spacing w:line="240" w:lineRule="auto"/>
              <w:ind w:firstLine="0" w:firstLineChars="0"/>
              <w:jc w:val="center"/>
              <w:rPr>
                <w:rFonts w:eastAsia="宋体"/>
                <w:sz w:val="21"/>
                <w:highlight w:val="none"/>
              </w:rPr>
            </w:pPr>
            <w:r>
              <w:rPr>
                <w:sz w:val="21"/>
                <w:highlight w:val="none"/>
              </w:rPr>
              <w:t>泰安市生态环境局泰山分局、泰前街道、上高街道、徐家楼街道、省庄镇、邱家店镇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sz w:val="21"/>
                <w:highlight w:val="none"/>
              </w:rPr>
              <w:t>1</w:t>
            </w:r>
            <w:r>
              <w:rPr>
                <w:rFonts w:hint="eastAsia"/>
                <w:sz w:val="21"/>
                <w:highlight w:val="none"/>
              </w:rPr>
              <w:t>5</w:t>
            </w:r>
          </w:p>
        </w:tc>
        <w:tc>
          <w:tcPr>
            <w:tcW w:w="581" w:type="pct"/>
            <w:noWrap/>
            <w:vAlign w:val="center"/>
          </w:tcPr>
          <w:p>
            <w:pPr>
              <w:snapToGrid w:val="0"/>
              <w:spacing w:line="240" w:lineRule="auto"/>
              <w:ind w:firstLine="0" w:firstLineChars="0"/>
              <w:jc w:val="left"/>
              <w:rPr>
                <w:sz w:val="21"/>
                <w:highlight w:val="none"/>
              </w:rPr>
            </w:pPr>
            <w:r>
              <w:rPr>
                <w:sz w:val="21"/>
                <w:highlight w:val="none"/>
              </w:rPr>
              <w:t>基层医疗卫生服务能力提升</w:t>
            </w:r>
          </w:p>
        </w:tc>
        <w:tc>
          <w:tcPr>
            <w:tcW w:w="2487" w:type="pct"/>
            <w:vAlign w:val="center"/>
          </w:tcPr>
          <w:p>
            <w:pPr>
              <w:snapToGrid w:val="0"/>
              <w:spacing w:line="240" w:lineRule="auto"/>
              <w:ind w:firstLine="0" w:firstLineChars="0"/>
              <w:jc w:val="left"/>
              <w:rPr>
                <w:sz w:val="21"/>
                <w:highlight w:val="none"/>
              </w:rPr>
            </w:pPr>
            <w:r>
              <w:rPr>
                <w:sz w:val="21"/>
                <w:highlight w:val="none"/>
              </w:rPr>
              <w:t>总投资约1亿元，新建上高街道社区卫生服务中心，创建省级社区医院1家、省级示范标准村卫生室2家，不断提升基层医疗卫生服务能力。</w:t>
            </w:r>
          </w:p>
        </w:tc>
        <w:tc>
          <w:tcPr>
            <w:tcW w:w="443" w:type="pct"/>
            <w:noWrap/>
            <w:vAlign w:val="center"/>
          </w:tcPr>
          <w:p>
            <w:pPr>
              <w:snapToGrid w:val="0"/>
              <w:spacing w:line="240" w:lineRule="auto"/>
              <w:ind w:firstLine="0" w:firstLineChars="0"/>
              <w:jc w:val="center"/>
              <w:rPr>
                <w:sz w:val="21"/>
                <w:highlight w:val="none"/>
              </w:rPr>
            </w:pPr>
            <w:r>
              <w:rPr>
                <w:sz w:val="21"/>
                <w:highlight w:val="none"/>
              </w:rPr>
              <w:t>2023-2025</w:t>
            </w:r>
          </w:p>
        </w:tc>
        <w:tc>
          <w:tcPr>
            <w:tcW w:w="390" w:type="pct"/>
            <w:noWrap/>
            <w:vAlign w:val="center"/>
          </w:tcPr>
          <w:p>
            <w:pPr>
              <w:snapToGrid w:val="0"/>
              <w:spacing w:line="240" w:lineRule="auto"/>
              <w:ind w:firstLine="0" w:firstLineChars="0"/>
              <w:jc w:val="center"/>
              <w:rPr>
                <w:sz w:val="21"/>
                <w:highlight w:val="none"/>
              </w:rPr>
            </w:pPr>
            <w:r>
              <w:rPr>
                <w:sz w:val="21"/>
                <w:highlight w:val="none"/>
              </w:rPr>
              <w:t>1</w:t>
            </w:r>
          </w:p>
        </w:tc>
        <w:tc>
          <w:tcPr>
            <w:tcW w:w="693" w:type="pct"/>
            <w:noWrap/>
            <w:vAlign w:val="center"/>
          </w:tcPr>
          <w:p>
            <w:pPr>
              <w:snapToGrid w:val="0"/>
              <w:spacing w:line="240" w:lineRule="auto"/>
              <w:ind w:firstLine="0" w:firstLineChars="0"/>
              <w:jc w:val="center"/>
              <w:rPr>
                <w:sz w:val="21"/>
                <w:highlight w:val="none"/>
              </w:rPr>
            </w:pPr>
            <w:r>
              <w:rPr>
                <w:sz w:val="21"/>
                <w:highlight w:val="none"/>
              </w:rPr>
              <w:t>有关街道镇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sz w:val="21"/>
                <w:highlight w:val="none"/>
              </w:rPr>
              <w:t>1</w:t>
            </w:r>
            <w:r>
              <w:rPr>
                <w:rFonts w:hint="eastAsia"/>
                <w:sz w:val="21"/>
                <w:highlight w:val="none"/>
              </w:rPr>
              <w:t>6</w:t>
            </w:r>
          </w:p>
        </w:tc>
        <w:tc>
          <w:tcPr>
            <w:tcW w:w="581" w:type="pct"/>
            <w:noWrap/>
            <w:vAlign w:val="center"/>
          </w:tcPr>
          <w:p>
            <w:pPr>
              <w:snapToGrid w:val="0"/>
              <w:spacing w:line="240" w:lineRule="auto"/>
              <w:ind w:firstLine="0" w:firstLineChars="0"/>
              <w:jc w:val="left"/>
              <w:rPr>
                <w:sz w:val="21"/>
                <w:highlight w:val="none"/>
              </w:rPr>
            </w:pPr>
            <w:r>
              <w:rPr>
                <w:sz w:val="21"/>
                <w:highlight w:val="none"/>
              </w:rPr>
              <w:t>城镇老旧小区改造工程</w:t>
            </w:r>
          </w:p>
        </w:tc>
        <w:tc>
          <w:tcPr>
            <w:tcW w:w="2487" w:type="pct"/>
            <w:vAlign w:val="center"/>
          </w:tcPr>
          <w:p>
            <w:pPr>
              <w:snapToGrid w:val="0"/>
              <w:spacing w:line="240" w:lineRule="auto"/>
              <w:ind w:firstLine="0" w:firstLineChars="0"/>
              <w:jc w:val="left"/>
              <w:rPr>
                <w:sz w:val="21"/>
                <w:highlight w:val="none"/>
              </w:rPr>
            </w:pPr>
            <w:r>
              <w:rPr>
                <w:sz w:val="21"/>
                <w:highlight w:val="none"/>
              </w:rPr>
              <w:t>计划投资7亿余元，对37个片区、200余万平方米老旧小区实施综合改造。</w:t>
            </w:r>
          </w:p>
        </w:tc>
        <w:tc>
          <w:tcPr>
            <w:tcW w:w="443" w:type="pct"/>
            <w:noWrap/>
            <w:vAlign w:val="center"/>
          </w:tcPr>
          <w:p>
            <w:pPr>
              <w:snapToGrid w:val="0"/>
              <w:spacing w:line="240" w:lineRule="auto"/>
              <w:ind w:firstLine="0" w:firstLineChars="0"/>
              <w:jc w:val="center"/>
              <w:rPr>
                <w:sz w:val="21"/>
                <w:highlight w:val="none"/>
              </w:rPr>
            </w:pPr>
            <w:r>
              <w:rPr>
                <w:sz w:val="21"/>
                <w:highlight w:val="none"/>
              </w:rPr>
              <w:t>2023-2030</w:t>
            </w:r>
          </w:p>
        </w:tc>
        <w:tc>
          <w:tcPr>
            <w:tcW w:w="390" w:type="pct"/>
            <w:noWrap/>
            <w:vAlign w:val="center"/>
          </w:tcPr>
          <w:p>
            <w:pPr>
              <w:snapToGrid w:val="0"/>
              <w:spacing w:line="240" w:lineRule="auto"/>
              <w:ind w:firstLine="0" w:firstLineChars="0"/>
              <w:jc w:val="center"/>
              <w:rPr>
                <w:sz w:val="21"/>
                <w:highlight w:val="none"/>
              </w:rPr>
            </w:pPr>
            <w:r>
              <w:rPr>
                <w:sz w:val="21"/>
                <w:highlight w:val="none"/>
              </w:rPr>
              <w:t>7</w:t>
            </w:r>
          </w:p>
        </w:tc>
        <w:tc>
          <w:tcPr>
            <w:tcW w:w="693" w:type="pct"/>
            <w:noWrap/>
            <w:vAlign w:val="center"/>
          </w:tcPr>
          <w:p>
            <w:pPr>
              <w:snapToGrid w:val="0"/>
              <w:spacing w:line="240" w:lineRule="auto"/>
              <w:ind w:firstLine="0" w:firstLineChars="0"/>
              <w:jc w:val="center"/>
              <w:rPr>
                <w:sz w:val="21"/>
                <w:highlight w:val="none"/>
              </w:rPr>
            </w:pPr>
            <w:r>
              <w:rPr>
                <w:sz w:val="21"/>
                <w:highlight w:val="none"/>
              </w:rPr>
              <w:t>各街道镇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sz w:val="21"/>
                <w:highlight w:val="none"/>
              </w:rPr>
              <w:t>1</w:t>
            </w:r>
            <w:r>
              <w:rPr>
                <w:rFonts w:hint="eastAsia"/>
                <w:sz w:val="21"/>
                <w:highlight w:val="none"/>
              </w:rPr>
              <w:t>7</w:t>
            </w:r>
          </w:p>
        </w:tc>
        <w:tc>
          <w:tcPr>
            <w:tcW w:w="581" w:type="pct"/>
            <w:noWrap/>
            <w:vAlign w:val="center"/>
          </w:tcPr>
          <w:p>
            <w:pPr>
              <w:snapToGrid w:val="0"/>
              <w:spacing w:line="240" w:lineRule="auto"/>
              <w:ind w:firstLine="0" w:firstLineChars="0"/>
              <w:jc w:val="left"/>
              <w:rPr>
                <w:sz w:val="21"/>
                <w:highlight w:val="none"/>
              </w:rPr>
            </w:pPr>
            <w:r>
              <w:rPr>
                <w:sz w:val="21"/>
                <w:highlight w:val="none"/>
              </w:rPr>
              <w:t>社区服务阵地提升工程</w:t>
            </w:r>
          </w:p>
        </w:tc>
        <w:tc>
          <w:tcPr>
            <w:tcW w:w="2487" w:type="pct"/>
            <w:vAlign w:val="center"/>
          </w:tcPr>
          <w:p>
            <w:pPr>
              <w:snapToGrid w:val="0"/>
              <w:spacing w:line="240" w:lineRule="auto"/>
              <w:ind w:firstLine="0" w:firstLineChars="0"/>
              <w:jc w:val="left"/>
              <w:rPr>
                <w:sz w:val="21"/>
                <w:highlight w:val="none"/>
              </w:rPr>
            </w:pPr>
            <w:r>
              <w:rPr>
                <w:sz w:val="21"/>
                <w:highlight w:val="none"/>
              </w:rPr>
              <w:t>计划投资2160万元，改造提升金星社区党群服务中心、北新社区党群服务中心、华郡社区党群服务中心，新建财源新村社区服务中心、松园社区服务中心，新华社区服务中心，完善功能室等内外配套设施，规范各项制度，推进基层社区服务阵地不断优化。</w:t>
            </w:r>
          </w:p>
        </w:tc>
        <w:tc>
          <w:tcPr>
            <w:tcW w:w="443" w:type="pct"/>
            <w:noWrap/>
            <w:vAlign w:val="center"/>
          </w:tcPr>
          <w:p>
            <w:pPr>
              <w:snapToGrid w:val="0"/>
              <w:spacing w:line="240" w:lineRule="auto"/>
              <w:ind w:firstLine="0" w:firstLineChars="0"/>
              <w:jc w:val="center"/>
              <w:rPr>
                <w:sz w:val="21"/>
                <w:highlight w:val="none"/>
              </w:rPr>
            </w:pPr>
            <w:r>
              <w:rPr>
                <w:sz w:val="21"/>
                <w:highlight w:val="none"/>
              </w:rPr>
              <w:t>2023-2025</w:t>
            </w:r>
          </w:p>
        </w:tc>
        <w:tc>
          <w:tcPr>
            <w:tcW w:w="390" w:type="pct"/>
            <w:noWrap/>
            <w:vAlign w:val="center"/>
          </w:tcPr>
          <w:p>
            <w:pPr>
              <w:snapToGrid w:val="0"/>
              <w:spacing w:line="240" w:lineRule="auto"/>
              <w:ind w:firstLine="0" w:firstLineChars="0"/>
              <w:jc w:val="center"/>
              <w:rPr>
                <w:sz w:val="21"/>
                <w:highlight w:val="none"/>
              </w:rPr>
            </w:pPr>
            <w:r>
              <w:rPr>
                <w:sz w:val="21"/>
                <w:highlight w:val="none"/>
              </w:rPr>
              <w:t>0.22</w:t>
            </w:r>
          </w:p>
        </w:tc>
        <w:tc>
          <w:tcPr>
            <w:tcW w:w="693" w:type="pct"/>
            <w:noWrap/>
            <w:vAlign w:val="center"/>
          </w:tcPr>
          <w:p>
            <w:pPr>
              <w:snapToGrid w:val="0"/>
              <w:spacing w:line="240" w:lineRule="auto"/>
              <w:ind w:firstLine="0" w:firstLineChars="0"/>
              <w:jc w:val="center"/>
              <w:rPr>
                <w:sz w:val="21"/>
                <w:highlight w:val="none"/>
              </w:rPr>
            </w:pPr>
            <w:r>
              <w:rPr>
                <w:sz w:val="21"/>
                <w:highlight w:val="none"/>
              </w:rPr>
              <w:t>财源街道、岱庙街道、上高街道、徐家楼街道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rFonts w:hint="eastAsia"/>
                <w:sz w:val="21"/>
                <w:highlight w:val="none"/>
              </w:rPr>
              <w:t>18</w:t>
            </w:r>
          </w:p>
        </w:tc>
        <w:tc>
          <w:tcPr>
            <w:tcW w:w="581" w:type="pct"/>
            <w:noWrap/>
            <w:vAlign w:val="center"/>
          </w:tcPr>
          <w:p>
            <w:pPr>
              <w:snapToGrid w:val="0"/>
              <w:spacing w:line="240" w:lineRule="auto"/>
              <w:ind w:firstLine="0" w:firstLineChars="0"/>
              <w:jc w:val="left"/>
              <w:rPr>
                <w:sz w:val="21"/>
                <w:highlight w:val="none"/>
              </w:rPr>
            </w:pPr>
            <w:r>
              <w:rPr>
                <w:rFonts w:hint="eastAsia"/>
                <w:sz w:val="21"/>
                <w:highlight w:val="none"/>
              </w:rPr>
              <w:t>“</w:t>
            </w:r>
            <w:r>
              <w:rPr>
                <w:sz w:val="21"/>
                <w:highlight w:val="none"/>
              </w:rPr>
              <w:t>四好农村路</w:t>
            </w:r>
            <w:r>
              <w:rPr>
                <w:rFonts w:hint="eastAsia"/>
                <w:sz w:val="21"/>
                <w:highlight w:val="none"/>
              </w:rPr>
              <w:t>”</w:t>
            </w:r>
            <w:r>
              <w:rPr>
                <w:sz w:val="21"/>
                <w:highlight w:val="none"/>
              </w:rPr>
              <w:t>新改建工程</w:t>
            </w:r>
          </w:p>
        </w:tc>
        <w:tc>
          <w:tcPr>
            <w:tcW w:w="2487" w:type="pct"/>
            <w:vAlign w:val="center"/>
          </w:tcPr>
          <w:p>
            <w:pPr>
              <w:snapToGrid w:val="0"/>
              <w:spacing w:line="240" w:lineRule="auto"/>
              <w:ind w:firstLine="0" w:firstLineChars="0"/>
              <w:jc w:val="left"/>
              <w:rPr>
                <w:sz w:val="21"/>
                <w:highlight w:val="none"/>
              </w:rPr>
            </w:pPr>
            <w:r>
              <w:rPr>
                <w:sz w:val="21"/>
                <w:highlight w:val="none"/>
              </w:rPr>
              <w:t>总投资约5000万元，对泰前、上高、徐家楼、省庄、邱家店等5个街道镇50公里农村公路改造提升，完善基础设施，提高道路通行便捷性。</w:t>
            </w:r>
          </w:p>
        </w:tc>
        <w:tc>
          <w:tcPr>
            <w:tcW w:w="443" w:type="pct"/>
            <w:noWrap/>
            <w:vAlign w:val="center"/>
          </w:tcPr>
          <w:p>
            <w:pPr>
              <w:snapToGrid w:val="0"/>
              <w:spacing w:line="240" w:lineRule="auto"/>
              <w:ind w:firstLine="0" w:firstLineChars="0"/>
              <w:jc w:val="center"/>
              <w:rPr>
                <w:sz w:val="21"/>
                <w:highlight w:val="none"/>
              </w:rPr>
            </w:pPr>
            <w:r>
              <w:rPr>
                <w:sz w:val="21"/>
                <w:highlight w:val="none"/>
              </w:rPr>
              <w:t>2023-2025</w:t>
            </w:r>
          </w:p>
        </w:tc>
        <w:tc>
          <w:tcPr>
            <w:tcW w:w="390" w:type="pct"/>
            <w:noWrap/>
            <w:vAlign w:val="center"/>
          </w:tcPr>
          <w:p>
            <w:pPr>
              <w:snapToGrid w:val="0"/>
              <w:spacing w:line="240" w:lineRule="auto"/>
              <w:ind w:firstLine="0" w:firstLineChars="0"/>
              <w:jc w:val="center"/>
              <w:rPr>
                <w:sz w:val="21"/>
                <w:highlight w:val="none"/>
              </w:rPr>
            </w:pPr>
            <w:r>
              <w:rPr>
                <w:sz w:val="21"/>
                <w:highlight w:val="none"/>
              </w:rPr>
              <w:t>0.05</w:t>
            </w:r>
          </w:p>
        </w:tc>
        <w:tc>
          <w:tcPr>
            <w:tcW w:w="693" w:type="pct"/>
            <w:noWrap/>
            <w:vAlign w:val="center"/>
          </w:tcPr>
          <w:p>
            <w:pPr>
              <w:snapToGrid w:val="0"/>
              <w:spacing w:line="240" w:lineRule="auto"/>
              <w:ind w:firstLine="0" w:firstLineChars="0"/>
              <w:jc w:val="center"/>
              <w:rPr>
                <w:sz w:val="21"/>
                <w:highlight w:val="none"/>
              </w:rPr>
            </w:pPr>
            <w:r>
              <w:rPr>
                <w:sz w:val="21"/>
                <w:highlight w:val="none"/>
              </w:rPr>
              <w:t>有关街道镇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rFonts w:hint="eastAsia" w:eastAsia="宋体"/>
                <w:sz w:val="21"/>
                <w:highlight w:val="none"/>
              </w:rPr>
              <w:t>19</w:t>
            </w:r>
          </w:p>
        </w:tc>
        <w:tc>
          <w:tcPr>
            <w:tcW w:w="581" w:type="pct"/>
            <w:noWrap/>
            <w:vAlign w:val="center"/>
          </w:tcPr>
          <w:p>
            <w:pPr>
              <w:snapToGrid w:val="0"/>
              <w:spacing w:line="240" w:lineRule="auto"/>
              <w:ind w:firstLine="0" w:firstLineChars="0"/>
              <w:jc w:val="left"/>
              <w:rPr>
                <w:sz w:val="21"/>
                <w:highlight w:val="none"/>
              </w:rPr>
            </w:pPr>
            <w:r>
              <w:rPr>
                <w:sz w:val="21"/>
                <w:highlight w:val="none"/>
              </w:rPr>
              <w:t>灌庄社区棚改项目</w:t>
            </w:r>
          </w:p>
        </w:tc>
        <w:tc>
          <w:tcPr>
            <w:tcW w:w="2487" w:type="pct"/>
            <w:vAlign w:val="center"/>
          </w:tcPr>
          <w:p>
            <w:pPr>
              <w:snapToGrid w:val="0"/>
              <w:spacing w:line="240" w:lineRule="auto"/>
              <w:ind w:firstLine="0" w:firstLineChars="0"/>
              <w:jc w:val="left"/>
              <w:rPr>
                <w:sz w:val="21"/>
                <w:highlight w:val="none"/>
              </w:rPr>
            </w:pPr>
            <w:r>
              <w:rPr>
                <w:sz w:val="21"/>
                <w:highlight w:val="none"/>
              </w:rPr>
              <w:t>用地77.92亩，总建筑面积205612平方米。可建设6栋住宅楼，4栋发展空间楼，1幼儿园、换热站及地下车库</w:t>
            </w:r>
          </w:p>
        </w:tc>
        <w:tc>
          <w:tcPr>
            <w:tcW w:w="443" w:type="pct"/>
            <w:noWrap/>
            <w:vAlign w:val="center"/>
          </w:tcPr>
          <w:p>
            <w:pPr>
              <w:snapToGrid w:val="0"/>
              <w:spacing w:line="240" w:lineRule="auto"/>
              <w:ind w:firstLine="0" w:firstLineChars="0"/>
              <w:jc w:val="center"/>
              <w:rPr>
                <w:sz w:val="21"/>
                <w:highlight w:val="none"/>
              </w:rPr>
            </w:pPr>
            <w:r>
              <w:rPr>
                <w:sz w:val="21"/>
                <w:highlight w:val="none"/>
              </w:rPr>
              <w:t>2023</w:t>
            </w:r>
          </w:p>
        </w:tc>
        <w:tc>
          <w:tcPr>
            <w:tcW w:w="390" w:type="pct"/>
            <w:noWrap/>
            <w:vAlign w:val="center"/>
          </w:tcPr>
          <w:p>
            <w:pPr>
              <w:snapToGrid w:val="0"/>
              <w:spacing w:line="240" w:lineRule="auto"/>
              <w:ind w:firstLine="0" w:firstLineChars="0"/>
              <w:jc w:val="center"/>
              <w:rPr>
                <w:sz w:val="21"/>
                <w:highlight w:val="none"/>
              </w:rPr>
            </w:pPr>
            <w:r>
              <w:rPr>
                <w:sz w:val="21"/>
                <w:highlight w:val="none"/>
              </w:rPr>
              <w:t>5.54</w:t>
            </w:r>
          </w:p>
        </w:tc>
        <w:tc>
          <w:tcPr>
            <w:tcW w:w="693" w:type="pct"/>
            <w:noWrap/>
            <w:vAlign w:val="center"/>
          </w:tcPr>
          <w:p>
            <w:pPr>
              <w:snapToGrid w:val="0"/>
              <w:spacing w:line="240" w:lineRule="auto"/>
              <w:ind w:firstLine="0" w:firstLineChars="0"/>
              <w:jc w:val="center"/>
              <w:rPr>
                <w:sz w:val="21"/>
                <w:highlight w:val="none"/>
              </w:rPr>
            </w:pPr>
            <w:r>
              <w:rPr>
                <w:sz w:val="21"/>
                <w:highlight w:val="none"/>
              </w:rPr>
              <w:t>岱庙街道灌庄社区居民委员会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1" w:type="pct"/>
            <w:vMerge w:val="restart"/>
            <w:vAlign w:val="center"/>
          </w:tcPr>
          <w:p>
            <w:pPr>
              <w:snapToGrid w:val="0"/>
              <w:spacing w:line="240" w:lineRule="auto"/>
              <w:ind w:firstLine="0" w:firstLineChars="0"/>
              <w:jc w:val="center"/>
              <w:rPr>
                <w:sz w:val="21"/>
                <w:highlight w:val="none"/>
              </w:rPr>
            </w:pPr>
            <w:r>
              <w:rPr>
                <w:sz w:val="21"/>
                <w:highlight w:val="none"/>
              </w:rPr>
              <w:t>生态文化</w:t>
            </w:r>
          </w:p>
        </w:tc>
        <w:tc>
          <w:tcPr>
            <w:tcW w:w="202" w:type="pct"/>
            <w:noWrap/>
            <w:vAlign w:val="center"/>
          </w:tcPr>
          <w:p>
            <w:pPr>
              <w:snapToGrid w:val="0"/>
              <w:spacing w:line="240" w:lineRule="auto"/>
              <w:ind w:firstLine="0" w:firstLineChars="0"/>
              <w:jc w:val="center"/>
              <w:rPr>
                <w:rFonts w:eastAsia="宋体"/>
                <w:sz w:val="21"/>
                <w:highlight w:val="none"/>
              </w:rPr>
            </w:pPr>
            <w:r>
              <w:rPr>
                <w:sz w:val="21"/>
                <w:highlight w:val="none"/>
              </w:rPr>
              <w:t>2</w:t>
            </w:r>
            <w:r>
              <w:rPr>
                <w:rFonts w:hint="eastAsia"/>
                <w:sz w:val="21"/>
                <w:highlight w:val="none"/>
              </w:rPr>
              <w:t>0</w:t>
            </w:r>
          </w:p>
        </w:tc>
        <w:tc>
          <w:tcPr>
            <w:tcW w:w="581" w:type="pct"/>
            <w:noWrap/>
            <w:vAlign w:val="center"/>
          </w:tcPr>
          <w:p>
            <w:pPr>
              <w:snapToGrid w:val="0"/>
              <w:spacing w:line="240" w:lineRule="auto"/>
              <w:ind w:firstLine="0" w:firstLineChars="0"/>
              <w:jc w:val="left"/>
              <w:rPr>
                <w:sz w:val="21"/>
                <w:highlight w:val="none"/>
              </w:rPr>
            </w:pPr>
            <w:r>
              <w:rPr>
                <w:sz w:val="21"/>
                <w:highlight w:val="none"/>
              </w:rPr>
              <w:t>厚街文旅综合体项目</w:t>
            </w:r>
          </w:p>
        </w:tc>
        <w:tc>
          <w:tcPr>
            <w:tcW w:w="2487" w:type="pct"/>
            <w:vAlign w:val="center"/>
          </w:tcPr>
          <w:p>
            <w:pPr>
              <w:snapToGrid w:val="0"/>
              <w:spacing w:line="240" w:lineRule="auto"/>
              <w:ind w:firstLine="0" w:firstLineChars="0"/>
              <w:jc w:val="left"/>
              <w:rPr>
                <w:sz w:val="21"/>
                <w:highlight w:val="none"/>
              </w:rPr>
            </w:pPr>
            <w:r>
              <w:rPr>
                <w:sz w:val="21"/>
                <w:highlight w:val="none"/>
              </w:rPr>
              <w:t>总占地56亩，建筑面积5万平方米，打造包括旅游商业街、特色美食街、文化体验街等综合性文旅综合体</w:t>
            </w:r>
          </w:p>
        </w:tc>
        <w:tc>
          <w:tcPr>
            <w:tcW w:w="443" w:type="pct"/>
            <w:noWrap/>
            <w:vAlign w:val="center"/>
          </w:tcPr>
          <w:p>
            <w:pPr>
              <w:snapToGrid w:val="0"/>
              <w:spacing w:line="240" w:lineRule="auto"/>
              <w:ind w:firstLine="0" w:firstLineChars="0"/>
              <w:jc w:val="center"/>
              <w:rPr>
                <w:sz w:val="21"/>
                <w:highlight w:val="none"/>
              </w:rPr>
            </w:pPr>
            <w:r>
              <w:rPr>
                <w:sz w:val="21"/>
                <w:highlight w:val="none"/>
              </w:rPr>
              <w:t>2023</w:t>
            </w:r>
          </w:p>
        </w:tc>
        <w:tc>
          <w:tcPr>
            <w:tcW w:w="390" w:type="pct"/>
            <w:noWrap/>
            <w:vAlign w:val="center"/>
          </w:tcPr>
          <w:p>
            <w:pPr>
              <w:snapToGrid w:val="0"/>
              <w:spacing w:line="240" w:lineRule="auto"/>
              <w:ind w:firstLine="0" w:firstLineChars="0"/>
              <w:jc w:val="center"/>
              <w:rPr>
                <w:sz w:val="21"/>
                <w:highlight w:val="none"/>
              </w:rPr>
            </w:pPr>
            <w:r>
              <w:rPr>
                <w:sz w:val="21"/>
                <w:highlight w:val="none"/>
              </w:rPr>
              <w:t>3.5</w:t>
            </w:r>
          </w:p>
        </w:tc>
        <w:tc>
          <w:tcPr>
            <w:tcW w:w="693" w:type="pct"/>
            <w:noWrap/>
            <w:vAlign w:val="center"/>
          </w:tcPr>
          <w:p>
            <w:pPr>
              <w:snapToGrid w:val="0"/>
              <w:spacing w:line="240" w:lineRule="auto"/>
              <w:ind w:firstLine="0" w:firstLineChars="0"/>
              <w:jc w:val="center"/>
              <w:rPr>
                <w:sz w:val="21"/>
                <w:highlight w:val="none"/>
              </w:rPr>
            </w:pPr>
            <w:r>
              <w:rPr>
                <w:sz w:val="21"/>
                <w:highlight w:val="none"/>
              </w:rPr>
              <w:t>泰前街道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01" w:type="pct"/>
            <w:vMerge w:val="continue"/>
            <w:noWrap/>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sz w:val="21"/>
                <w:highlight w:val="none"/>
              </w:rPr>
              <w:t>2</w:t>
            </w:r>
            <w:r>
              <w:rPr>
                <w:rFonts w:hint="eastAsia"/>
                <w:sz w:val="21"/>
                <w:highlight w:val="none"/>
              </w:rPr>
              <w:t>1</w:t>
            </w:r>
          </w:p>
        </w:tc>
        <w:tc>
          <w:tcPr>
            <w:tcW w:w="581" w:type="pct"/>
            <w:vAlign w:val="center"/>
          </w:tcPr>
          <w:p>
            <w:pPr>
              <w:snapToGrid w:val="0"/>
              <w:spacing w:line="240" w:lineRule="auto"/>
              <w:ind w:firstLine="0" w:firstLineChars="0"/>
              <w:jc w:val="left"/>
              <w:rPr>
                <w:sz w:val="21"/>
                <w:highlight w:val="none"/>
              </w:rPr>
            </w:pPr>
            <w:r>
              <w:rPr>
                <w:sz w:val="21"/>
                <w:highlight w:val="none"/>
              </w:rPr>
              <w:t>双龙河健身主题公园和文化主题公园项目</w:t>
            </w:r>
          </w:p>
        </w:tc>
        <w:tc>
          <w:tcPr>
            <w:tcW w:w="2487" w:type="pct"/>
            <w:vAlign w:val="center"/>
          </w:tcPr>
          <w:p>
            <w:pPr>
              <w:snapToGrid w:val="0"/>
              <w:spacing w:line="240" w:lineRule="auto"/>
              <w:ind w:firstLine="0" w:firstLineChars="0"/>
              <w:jc w:val="left"/>
              <w:rPr>
                <w:sz w:val="21"/>
                <w:highlight w:val="none"/>
              </w:rPr>
            </w:pPr>
            <w:r>
              <w:rPr>
                <w:sz w:val="21"/>
                <w:highlight w:val="none"/>
              </w:rPr>
              <w:t>在双龙河南北两段，建设一处以体育健身设施及景观园林为主要内容的健身主题公园及一处以泰山文化主题设施及景观园林为主要内容的文化主题公园。有效提升周边环境，满足居民需求，为创建国家园林城市打下坚实基础。</w:t>
            </w:r>
          </w:p>
        </w:tc>
        <w:tc>
          <w:tcPr>
            <w:tcW w:w="443" w:type="pct"/>
            <w:noWrap/>
            <w:vAlign w:val="center"/>
          </w:tcPr>
          <w:p>
            <w:pPr>
              <w:snapToGrid w:val="0"/>
              <w:spacing w:line="240" w:lineRule="auto"/>
              <w:ind w:firstLine="0" w:firstLineChars="0"/>
              <w:jc w:val="center"/>
              <w:rPr>
                <w:sz w:val="21"/>
                <w:highlight w:val="none"/>
              </w:rPr>
            </w:pPr>
            <w:r>
              <w:rPr>
                <w:sz w:val="21"/>
                <w:highlight w:val="none"/>
              </w:rPr>
              <w:t>2023-2025</w:t>
            </w:r>
          </w:p>
        </w:tc>
        <w:tc>
          <w:tcPr>
            <w:tcW w:w="390" w:type="pct"/>
            <w:noWrap/>
            <w:vAlign w:val="center"/>
          </w:tcPr>
          <w:p>
            <w:pPr>
              <w:snapToGrid w:val="0"/>
              <w:spacing w:line="240" w:lineRule="auto"/>
              <w:ind w:firstLine="0" w:firstLineChars="0"/>
              <w:jc w:val="center"/>
              <w:rPr>
                <w:sz w:val="21"/>
                <w:highlight w:val="none"/>
              </w:rPr>
            </w:pPr>
            <w:r>
              <w:rPr>
                <w:sz w:val="21"/>
                <w:highlight w:val="none"/>
              </w:rPr>
              <w:t>0.1</w:t>
            </w:r>
          </w:p>
        </w:tc>
        <w:tc>
          <w:tcPr>
            <w:tcW w:w="693" w:type="pct"/>
            <w:noWrap/>
            <w:vAlign w:val="center"/>
          </w:tcPr>
          <w:p>
            <w:pPr>
              <w:snapToGrid w:val="0"/>
              <w:spacing w:line="240" w:lineRule="auto"/>
              <w:ind w:firstLine="0" w:firstLineChars="0"/>
              <w:jc w:val="center"/>
              <w:rPr>
                <w:sz w:val="21"/>
                <w:highlight w:val="none"/>
              </w:rPr>
            </w:pPr>
            <w:r>
              <w:rPr>
                <w:sz w:val="21"/>
                <w:highlight w:val="none"/>
              </w:rPr>
              <w:t>上高街道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1" w:type="pct"/>
            <w:vMerge w:val="continue"/>
            <w:vAlign w:val="center"/>
          </w:tcPr>
          <w:p>
            <w:pPr>
              <w:snapToGrid w:val="0"/>
              <w:spacing w:line="240" w:lineRule="auto"/>
              <w:ind w:firstLine="0" w:firstLineChars="0"/>
              <w:jc w:val="center"/>
              <w:rPr>
                <w:sz w:val="21"/>
                <w:highlight w:val="none"/>
              </w:rPr>
            </w:pPr>
          </w:p>
        </w:tc>
        <w:tc>
          <w:tcPr>
            <w:tcW w:w="202" w:type="pct"/>
            <w:noWrap/>
            <w:vAlign w:val="center"/>
          </w:tcPr>
          <w:p>
            <w:pPr>
              <w:snapToGrid w:val="0"/>
              <w:spacing w:line="240" w:lineRule="auto"/>
              <w:ind w:firstLine="0" w:firstLineChars="0"/>
              <w:jc w:val="center"/>
              <w:rPr>
                <w:rFonts w:eastAsia="宋体"/>
                <w:sz w:val="21"/>
                <w:highlight w:val="none"/>
              </w:rPr>
            </w:pPr>
            <w:r>
              <w:rPr>
                <w:sz w:val="21"/>
                <w:highlight w:val="none"/>
              </w:rPr>
              <w:t>2</w:t>
            </w:r>
            <w:r>
              <w:rPr>
                <w:rFonts w:hint="eastAsia"/>
                <w:sz w:val="21"/>
                <w:highlight w:val="none"/>
              </w:rPr>
              <w:t>2</w:t>
            </w:r>
          </w:p>
        </w:tc>
        <w:tc>
          <w:tcPr>
            <w:tcW w:w="581" w:type="pct"/>
            <w:noWrap/>
            <w:vAlign w:val="center"/>
          </w:tcPr>
          <w:p>
            <w:pPr>
              <w:snapToGrid w:val="0"/>
              <w:spacing w:line="240" w:lineRule="auto"/>
              <w:ind w:firstLine="0" w:firstLineChars="0"/>
              <w:jc w:val="left"/>
              <w:rPr>
                <w:sz w:val="21"/>
                <w:highlight w:val="none"/>
              </w:rPr>
            </w:pPr>
            <w:r>
              <w:rPr>
                <w:sz w:val="21"/>
                <w:highlight w:val="none"/>
              </w:rPr>
              <w:t>新时代党团教育实践基地</w:t>
            </w:r>
          </w:p>
        </w:tc>
        <w:tc>
          <w:tcPr>
            <w:tcW w:w="2487" w:type="pct"/>
            <w:vAlign w:val="center"/>
          </w:tcPr>
          <w:p>
            <w:pPr>
              <w:snapToGrid w:val="0"/>
              <w:spacing w:line="240" w:lineRule="auto"/>
              <w:ind w:firstLine="0" w:firstLineChars="0"/>
              <w:jc w:val="left"/>
              <w:rPr>
                <w:sz w:val="21"/>
                <w:highlight w:val="none"/>
              </w:rPr>
            </w:pPr>
            <w:r>
              <w:rPr>
                <w:sz w:val="21"/>
                <w:highlight w:val="none"/>
              </w:rPr>
              <w:t>占地3221.06平方米，总建筑面积6993.28平方米，共四层。其中，地上三层建筑面积5147.42平方米，地下一层面积1818.86平方米，围绕基层党建、团建开展丰富的实践教育活动，集会议、培训、住宿、就餐、参观于一体，致力于成为泰城东部第一家基层党团教育活动基地。</w:t>
            </w:r>
          </w:p>
        </w:tc>
        <w:tc>
          <w:tcPr>
            <w:tcW w:w="443" w:type="pct"/>
            <w:noWrap/>
            <w:vAlign w:val="center"/>
          </w:tcPr>
          <w:p>
            <w:pPr>
              <w:snapToGrid w:val="0"/>
              <w:spacing w:line="240" w:lineRule="auto"/>
              <w:ind w:firstLine="0" w:firstLineChars="0"/>
              <w:jc w:val="center"/>
              <w:rPr>
                <w:sz w:val="21"/>
                <w:highlight w:val="none"/>
              </w:rPr>
            </w:pPr>
            <w:r>
              <w:rPr>
                <w:sz w:val="21"/>
                <w:highlight w:val="none"/>
              </w:rPr>
              <w:t>2023</w:t>
            </w:r>
          </w:p>
        </w:tc>
        <w:tc>
          <w:tcPr>
            <w:tcW w:w="390" w:type="pct"/>
            <w:noWrap/>
            <w:vAlign w:val="center"/>
          </w:tcPr>
          <w:p>
            <w:pPr>
              <w:snapToGrid w:val="0"/>
              <w:spacing w:line="240" w:lineRule="auto"/>
              <w:ind w:firstLine="0" w:firstLineChars="0"/>
              <w:jc w:val="center"/>
              <w:rPr>
                <w:sz w:val="21"/>
                <w:highlight w:val="none"/>
              </w:rPr>
            </w:pPr>
            <w:r>
              <w:rPr>
                <w:sz w:val="21"/>
                <w:highlight w:val="none"/>
              </w:rPr>
              <w:t>7</w:t>
            </w:r>
          </w:p>
        </w:tc>
        <w:tc>
          <w:tcPr>
            <w:tcW w:w="693" w:type="pct"/>
            <w:noWrap/>
            <w:vAlign w:val="center"/>
          </w:tcPr>
          <w:p>
            <w:pPr>
              <w:snapToGrid w:val="0"/>
              <w:spacing w:line="240" w:lineRule="auto"/>
              <w:ind w:firstLine="0" w:firstLineChars="0"/>
              <w:jc w:val="center"/>
              <w:rPr>
                <w:sz w:val="21"/>
                <w:highlight w:val="none"/>
              </w:rPr>
            </w:pPr>
            <w:r>
              <w:rPr>
                <w:sz w:val="21"/>
                <w:highlight w:val="none"/>
              </w:rPr>
              <w:t>省庄镇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916" w:type="pct"/>
            <w:gridSpan w:val="5"/>
            <w:noWrap/>
            <w:vAlign w:val="center"/>
          </w:tcPr>
          <w:p>
            <w:pPr>
              <w:snapToGrid w:val="0"/>
              <w:spacing w:line="240" w:lineRule="auto"/>
              <w:ind w:firstLine="0" w:firstLineChars="0"/>
              <w:jc w:val="center"/>
              <w:rPr>
                <w:sz w:val="21"/>
                <w:highlight w:val="none"/>
              </w:rPr>
            </w:pPr>
            <w:r>
              <w:rPr>
                <w:sz w:val="21"/>
                <w:highlight w:val="none"/>
              </w:rPr>
              <w:t>合计</w:t>
            </w:r>
          </w:p>
        </w:tc>
        <w:tc>
          <w:tcPr>
            <w:tcW w:w="390" w:type="pct"/>
            <w:noWrap/>
            <w:vAlign w:val="center"/>
          </w:tcPr>
          <w:p>
            <w:pPr>
              <w:snapToGrid w:val="0"/>
              <w:spacing w:line="240" w:lineRule="auto"/>
              <w:ind w:firstLine="0" w:firstLineChars="0"/>
              <w:jc w:val="center"/>
              <w:rPr>
                <w:rFonts w:eastAsia="宋体"/>
                <w:sz w:val="21"/>
                <w:highlight w:val="none"/>
              </w:rPr>
            </w:pPr>
            <w:r>
              <w:rPr>
                <w:rFonts w:hint="eastAsia"/>
                <w:sz w:val="21"/>
                <w:highlight w:val="none"/>
              </w:rPr>
              <w:t>37.141</w:t>
            </w:r>
          </w:p>
        </w:tc>
        <w:tc>
          <w:tcPr>
            <w:tcW w:w="693" w:type="pct"/>
            <w:noWrap/>
            <w:vAlign w:val="center"/>
          </w:tcPr>
          <w:p>
            <w:pPr>
              <w:snapToGrid w:val="0"/>
              <w:spacing w:line="240" w:lineRule="auto"/>
              <w:ind w:firstLine="0" w:firstLineChars="0"/>
              <w:jc w:val="center"/>
              <w:rPr>
                <w:sz w:val="21"/>
                <w:highlight w:val="none"/>
              </w:rPr>
            </w:pPr>
          </w:p>
        </w:tc>
      </w:tr>
    </w:tbl>
    <w:p>
      <w:pPr>
        <w:pStyle w:val="26"/>
        <w:ind w:firstLine="600"/>
        <w:rPr>
          <w:rFonts w:ascii="Times New Roman" w:hAnsi="Times New Roman" w:eastAsia="黑体" w:cs="Times New Roman"/>
          <w:sz w:val="30"/>
          <w:szCs w:val="30"/>
          <w:highlight w:val="none"/>
        </w:rPr>
        <w:sectPr>
          <w:pgSz w:w="16838" w:h="11906" w:orient="landscape"/>
          <w:pgMar w:top="1800" w:right="1440" w:bottom="1800" w:left="1440" w:header="851" w:footer="992" w:gutter="0"/>
          <w:cols w:space="425" w:num="1"/>
          <w:docGrid w:type="lines" w:linePitch="326" w:charSpace="0"/>
        </w:sectPr>
      </w:pPr>
    </w:p>
    <w:p>
      <w:pPr>
        <w:pStyle w:val="2"/>
        <w:rPr>
          <w:highlight w:val="none"/>
        </w:rPr>
      </w:pPr>
      <w:bookmarkStart w:id="319" w:name="_Toc14139"/>
      <w:bookmarkStart w:id="320" w:name="_Toc22475"/>
      <w:bookmarkStart w:id="321" w:name="_Toc28474"/>
      <w:bookmarkStart w:id="322" w:name="_Toc143041462"/>
      <w:r>
        <w:rPr>
          <w:highlight w:val="none"/>
        </w:rPr>
        <w:t>效益分析</w:t>
      </w:r>
      <w:bookmarkEnd w:id="319"/>
      <w:bookmarkEnd w:id="320"/>
      <w:bookmarkEnd w:id="321"/>
      <w:bookmarkEnd w:id="322"/>
    </w:p>
    <w:p>
      <w:pPr>
        <w:pStyle w:val="3"/>
        <w:rPr>
          <w:b/>
          <w:bCs w:val="0"/>
          <w:highlight w:val="none"/>
        </w:rPr>
      </w:pPr>
      <w:bookmarkStart w:id="323" w:name="_Toc9166"/>
      <w:bookmarkStart w:id="324" w:name="_Toc9955"/>
      <w:bookmarkStart w:id="325" w:name="_Toc143041463"/>
      <w:bookmarkStart w:id="326" w:name="_Toc14124"/>
      <w:bookmarkStart w:id="327" w:name="_Toc18873"/>
      <w:r>
        <w:rPr>
          <w:rFonts w:hint="eastAsia"/>
          <w:b/>
          <w:bCs w:val="0"/>
          <w:highlight w:val="none"/>
        </w:rPr>
        <w:t>生态效益</w:t>
      </w:r>
      <w:bookmarkEnd w:id="323"/>
      <w:bookmarkEnd w:id="324"/>
      <w:bookmarkEnd w:id="325"/>
      <w:bookmarkEnd w:id="326"/>
      <w:bookmarkEnd w:id="327"/>
    </w:p>
    <w:p>
      <w:pPr>
        <w:pStyle w:val="4"/>
        <w:spacing w:before="156"/>
        <w:rPr>
          <w:highlight w:val="none"/>
        </w:rPr>
      </w:pPr>
      <w:bookmarkStart w:id="328" w:name="_Toc136673521"/>
      <w:r>
        <w:rPr>
          <w:highlight w:val="none"/>
        </w:rPr>
        <w:t>生态环境质量稳步向好</w:t>
      </w:r>
    </w:p>
    <w:p>
      <w:pPr>
        <w:ind w:firstLine="560"/>
        <w:rPr>
          <w:highlight w:val="none"/>
        </w:rPr>
      </w:pPr>
      <w:r>
        <w:rPr>
          <w:szCs w:val="30"/>
          <w:highlight w:val="none"/>
        </w:rPr>
        <w:t>通过系统推进山水林田湖草治理、</w:t>
      </w:r>
      <w:r>
        <w:rPr>
          <w:rFonts w:hint="eastAsia"/>
          <w:szCs w:val="30"/>
          <w:highlight w:val="none"/>
        </w:rPr>
        <w:t>一河（湖）一策制度建设工程、生物多样性监测工程</w:t>
      </w:r>
      <w:r>
        <w:rPr>
          <w:szCs w:val="30"/>
          <w:highlight w:val="none"/>
        </w:rPr>
        <w:t>等</w:t>
      </w:r>
      <w:r>
        <w:rPr>
          <w:rFonts w:hint="eastAsia"/>
          <w:szCs w:val="30"/>
          <w:highlight w:val="none"/>
        </w:rPr>
        <w:t>项目实施</w:t>
      </w:r>
      <w:r>
        <w:rPr>
          <w:szCs w:val="30"/>
          <w:highlight w:val="none"/>
        </w:rPr>
        <w:t>，林草覆盖率</w:t>
      </w:r>
      <w:r>
        <w:rPr>
          <w:rFonts w:hint="eastAsia"/>
          <w:szCs w:val="30"/>
          <w:highlight w:val="none"/>
        </w:rPr>
        <w:t>、河湖岸线保护率</w:t>
      </w:r>
      <w:r>
        <w:rPr>
          <w:szCs w:val="30"/>
          <w:highlight w:val="none"/>
        </w:rPr>
        <w:t>将逐步提升，国家重点保护野生动植物、特有性或指示性水生物种保护能力将逐步增强，优质生态产品供给能力将不断增加。通过</w:t>
      </w:r>
      <w:r>
        <w:rPr>
          <w:rFonts w:hint="eastAsia"/>
          <w:szCs w:val="30"/>
          <w:highlight w:val="none"/>
        </w:rPr>
        <w:t>环境监测能力提升工程、环境监管能力建设工程建设，</w:t>
      </w:r>
      <w:r>
        <w:rPr>
          <w:szCs w:val="30"/>
          <w:highlight w:val="none"/>
        </w:rPr>
        <w:t>全面加强扬尘防治、实施河道</w:t>
      </w:r>
      <w:r>
        <w:rPr>
          <w:rFonts w:hint="eastAsia"/>
          <w:szCs w:val="30"/>
          <w:highlight w:val="none"/>
          <w:lang w:eastAsia="zh-Hans"/>
        </w:rPr>
        <w:t>提升改造</w:t>
      </w:r>
      <w:r>
        <w:rPr>
          <w:szCs w:val="30"/>
          <w:highlight w:val="none"/>
        </w:rPr>
        <w:t>等，PM</w:t>
      </w:r>
      <w:r>
        <w:rPr>
          <w:szCs w:val="30"/>
          <w:highlight w:val="none"/>
          <w:vertAlign w:val="subscript"/>
        </w:rPr>
        <w:t>2.5</w:t>
      </w:r>
      <w:r>
        <w:rPr>
          <w:szCs w:val="30"/>
          <w:highlight w:val="none"/>
        </w:rPr>
        <w:t>浓度将继续下降，</w:t>
      </w:r>
      <w:r>
        <w:rPr>
          <w:rFonts w:hint="eastAsia"/>
          <w:szCs w:val="30"/>
          <w:highlight w:val="none"/>
        </w:rPr>
        <w:t>臭氧</w:t>
      </w:r>
      <w:r>
        <w:rPr>
          <w:szCs w:val="30"/>
          <w:highlight w:val="none"/>
        </w:rPr>
        <w:t>污染风险得到有效控制，空气优良天数比例持续增加</w:t>
      </w:r>
      <w:r>
        <w:rPr>
          <w:rFonts w:hint="eastAsia"/>
          <w:szCs w:val="30"/>
          <w:highlight w:val="none"/>
        </w:rPr>
        <w:t>；</w:t>
      </w:r>
      <w:r>
        <w:rPr>
          <w:highlight w:val="none"/>
        </w:rPr>
        <w:t>水环境质量持续改善，实现稳中向好，</w:t>
      </w:r>
      <w:r>
        <w:rPr>
          <w:rFonts w:hint="eastAsia"/>
          <w:highlight w:val="none"/>
        </w:rPr>
        <w:t>省控及以上断面</w:t>
      </w:r>
      <w:r>
        <w:rPr>
          <w:highlight w:val="none"/>
        </w:rPr>
        <w:t>劣Ⅴ类水体和</w:t>
      </w:r>
      <w:r>
        <w:rPr>
          <w:rFonts w:hint="eastAsia"/>
          <w:highlight w:val="none"/>
        </w:rPr>
        <w:t>城市</w:t>
      </w:r>
      <w:r>
        <w:rPr>
          <w:highlight w:val="none"/>
        </w:rPr>
        <w:t>黑臭水体全面消除</w:t>
      </w:r>
      <w:r>
        <w:rPr>
          <w:rFonts w:hint="eastAsia"/>
          <w:highlight w:val="none"/>
        </w:rPr>
        <w:t>，</w:t>
      </w:r>
      <w:r>
        <w:rPr>
          <w:szCs w:val="30"/>
          <w:highlight w:val="none"/>
        </w:rPr>
        <w:t>集中式饮用水源地水质达标率</w:t>
      </w:r>
      <w:r>
        <w:rPr>
          <w:rFonts w:hint="eastAsia"/>
          <w:szCs w:val="30"/>
          <w:highlight w:val="none"/>
        </w:rPr>
        <w:t>保持100%，</w:t>
      </w:r>
      <w:r>
        <w:rPr>
          <w:szCs w:val="30"/>
          <w:highlight w:val="none"/>
        </w:rPr>
        <w:t>省控考核断面水质达标率</w:t>
      </w:r>
      <w:r>
        <w:rPr>
          <w:rFonts w:hint="eastAsia"/>
          <w:szCs w:val="30"/>
          <w:highlight w:val="none"/>
        </w:rPr>
        <w:t>保持稳定并持续改善；</w:t>
      </w:r>
      <w:bookmarkEnd w:id="328"/>
      <w:r>
        <w:rPr>
          <w:highlight w:val="none"/>
        </w:rPr>
        <w:t>固废全面安全处置，垃圾分类回收全面普及</w:t>
      </w:r>
      <w:r>
        <w:rPr>
          <w:rFonts w:hint="eastAsia"/>
          <w:highlight w:val="none"/>
        </w:rPr>
        <w:t>；环境风险防控能力不断加强，突发环境事件快速响应及应急处置能力得到提高。</w:t>
      </w:r>
    </w:p>
    <w:p>
      <w:pPr>
        <w:pStyle w:val="4"/>
        <w:spacing w:before="156"/>
        <w:rPr>
          <w:highlight w:val="none"/>
        </w:rPr>
      </w:pPr>
      <w:r>
        <w:rPr>
          <w:highlight w:val="none"/>
        </w:rPr>
        <w:t>生态安全屏障更加牢固</w:t>
      </w:r>
    </w:p>
    <w:p>
      <w:pPr>
        <w:ind w:firstLine="560"/>
        <w:rPr>
          <w:szCs w:val="30"/>
          <w:highlight w:val="none"/>
        </w:rPr>
      </w:pPr>
      <w:r>
        <w:rPr>
          <w:highlight w:val="none"/>
        </w:rPr>
        <w:t>通过生态功能分区，明确了不同生态区域相应的生态环境服务和利用功能，并在此基础上通过生态廊道和节点的建设，保住并增加生态良好区域，确保区域能流、物流的畅通，降低生态系统服务的阻力；完善城市绿化，建设生态型规模绿地，促进分散的公共绿地在生态廊道的串联下发挥整体功能；通过河流湿地和近自然河流的建设，恢复水生态系统，提升水生态系统的服务功能；强化乡土物种在物种配置中的使用，控制外来引种的扩散，逐渐调整生态系统达到正向演替和本土化，保护本地物种的多样性。</w:t>
      </w:r>
      <w:r>
        <w:rPr>
          <w:rFonts w:hint="eastAsia"/>
          <w:highlight w:val="none"/>
        </w:rPr>
        <w:t>泰山、大汶河等</w:t>
      </w:r>
      <w:r>
        <w:rPr>
          <w:szCs w:val="30"/>
          <w:highlight w:val="none"/>
        </w:rPr>
        <w:t>重要生态保护区域生态系统结构将不断优化</w:t>
      </w:r>
      <w:r>
        <w:rPr>
          <w:rFonts w:hint="eastAsia"/>
          <w:szCs w:val="30"/>
          <w:highlight w:val="none"/>
        </w:rPr>
        <w:t>、</w:t>
      </w:r>
      <w:r>
        <w:rPr>
          <w:szCs w:val="30"/>
          <w:highlight w:val="none"/>
        </w:rPr>
        <w:t>功能不断提升，生态安全屏障将更加筑牢。</w:t>
      </w:r>
    </w:p>
    <w:p>
      <w:pPr>
        <w:pStyle w:val="4"/>
        <w:spacing w:before="156"/>
        <w:rPr>
          <w:highlight w:val="none"/>
        </w:rPr>
      </w:pPr>
      <w:r>
        <w:rPr>
          <w:highlight w:val="none"/>
        </w:rPr>
        <w:t>生态人居环境更加美好</w:t>
      </w:r>
    </w:p>
    <w:p>
      <w:pPr>
        <w:ind w:firstLine="560"/>
        <w:rPr>
          <w:highlight w:val="none"/>
        </w:rPr>
      </w:pPr>
      <w:r>
        <w:rPr>
          <w:szCs w:val="30"/>
          <w:highlight w:val="none"/>
        </w:rPr>
        <w:t>通过完善环境基础设施、推进城镇生活垃圾规范处置、实施农村环境综合整治等，城乡人居环境将大幅改善，</w:t>
      </w:r>
      <w:r>
        <w:rPr>
          <w:highlight w:val="none"/>
        </w:rPr>
        <w:t>完成上级</w:t>
      </w:r>
      <w:r>
        <w:rPr>
          <w:rFonts w:hint="eastAsia"/>
          <w:highlight w:val="none"/>
        </w:rPr>
        <w:t>节能减排</w:t>
      </w:r>
      <w:r>
        <w:rPr>
          <w:highlight w:val="none"/>
        </w:rPr>
        <w:t>考核任务</w:t>
      </w:r>
      <w:r>
        <w:rPr>
          <w:rFonts w:hint="eastAsia"/>
          <w:highlight w:val="none"/>
        </w:rPr>
        <w:t>，</w:t>
      </w:r>
      <w:r>
        <w:rPr>
          <w:highlight w:val="none"/>
        </w:rPr>
        <w:t>城镇生活污水得到有效治理，</w:t>
      </w:r>
      <w:r>
        <w:rPr>
          <w:rFonts w:hint="eastAsia"/>
          <w:highlight w:val="none"/>
        </w:rPr>
        <w:t>城乡</w:t>
      </w:r>
      <w:r>
        <w:rPr>
          <w:highlight w:val="none"/>
        </w:rPr>
        <w:t>垃圾收运体系不断完善</w:t>
      </w:r>
      <w:r>
        <w:rPr>
          <w:szCs w:val="30"/>
          <w:highlight w:val="none"/>
        </w:rPr>
        <w:t>。</w:t>
      </w:r>
      <w:r>
        <w:rPr>
          <w:rFonts w:hint="eastAsia"/>
          <w:szCs w:val="30"/>
          <w:highlight w:val="none"/>
        </w:rPr>
        <w:t>城乡</w:t>
      </w:r>
      <w:r>
        <w:rPr>
          <w:highlight w:val="none"/>
        </w:rPr>
        <w:t>生态用地比例</w:t>
      </w:r>
      <w:r>
        <w:rPr>
          <w:rFonts w:hint="eastAsia"/>
          <w:highlight w:val="none"/>
        </w:rPr>
        <w:t>逐渐</w:t>
      </w:r>
      <w:r>
        <w:rPr>
          <w:highlight w:val="none"/>
        </w:rPr>
        <w:t>上升，城市</w:t>
      </w:r>
      <w:r>
        <w:rPr>
          <w:rFonts w:hint="eastAsia"/>
          <w:highlight w:val="none"/>
        </w:rPr>
        <w:t>颜值</w:t>
      </w:r>
      <w:r>
        <w:rPr>
          <w:highlight w:val="none"/>
        </w:rPr>
        <w:t>大幅优化。为城市居民的休憩提供优美充足的场所，使城市中原本受到严重人为干扰的自然过程得以恢复，促进城市生态系统物种多样性和生境多样性的显著提高。良好的水质和空气质量为人民的健康和生命安全提供了基础保障</w:t>
      </w:r>
      <w:r>
        <w:rPr>
          <w:rFonts w:hint="eastAsia"/>
          <w:highlight w:val="none"/>
        </w:rPr>
        <w:t>。</w:t>
      </w:r>
      <w:r>
        <w:rPr>
          <w:highlight w:val="none"/>
        </w:rPr>
        <w:t>宜人的自然生态环境为人们提供独特的娱乐、美学、教育和科研价值，改善居民活动空间，提高居民生活品质。</w:t>
      </w:r>
      <w:r>
        <w:rPr>
          <w:rFonts w:hint="eastAsia"/>
          <w:highlight w:val="none"/>
        </w:rPr>
        <w:t>山</w:t>
      </w:r>
      <w:r>
        <w:rPr>
          <w:highlight w:val="none"/>
        </w:rPr>
        <w:t>绿、水清、天蓝、</w:t>
      </w:r>
      <w:r>
        <w:rPr>
          <w:rFonts w:hint="eastAsia"/>
          <w:highlight w:val="none"/>
        </w:rPr>
        <w:t>宁</w:t>
      </w:r>
      <w:r>
        <w:rPr>
          <w:highlight w:val="none"/>
        </w:rPr>
        <w:t>静、景美、宜居宜业</w:t>
      </w:r>
      <w:r>
        <w:rPr>
          <w:rFonts w:hint="eastAsia"/>
          <w:highlight w:val="none"/>
        </w:rPr>
        <w:t>宜游</w:t>
      </w:r>
      <w:r>
        <w:rPr>
          <w:highlight w:val="none"/>
        </w:rPr>
        <w:t>的生态泰山区将</w:t>
      </w:r>
      <w:r>
        <w:rPr>
          <w:rFonts w:hint="eastAsia"/>
          <w:highlight w:val="none"/>
        </w:rPr>
        <w:t>满足群众对美好</w:t>
      </w:r>
      <w:r>
        <w:rPr>
          <w:highlight w:val="none"/>
        </w:rPr>
        <w:t>环境的需求。</w:t>
      </w:r>
    </w:p>
    <w:p>
      <w:pPr>
        <w:pStyle w:val="3"/>
        <w:rPr>
          <w:b/>
          <w:bCs w:val="0"/>
          <w:highlight w:val="none"/>
        </w:rPr>
      </w:pPr>
      <w:bookmarkStart w:id="329" w:name="_Toc7067"/>
      <w:bookmarkStart w:id="330" w:name="_Toc20798"/>
      <w:bookmarkStart w:id="331" w:name="_Toc143041464"/>
      <w:bookmarkStart w:id="332" w:name="_Toc4115"/>
      <w:bookmarkStart w:id="333" w:name="_Toc385"/>
      <w:r>
        <w:rPr>
          <w:rFonts w:hint="eastAsia"/>
          <w:b/>
          <w:bCs w:val="0"/>
          <w:highlight w:val="none"/>
        </w:rPr>
        <w:t>社会效益</w:t>
      </w:r>
      <w:bookmarkEnd w:id="329"/>
      <w:bookmarkEnd w:id="330"/>
      <w:bookmarkEnd w:id="331"/>
      <w:bookmarkEnd w:id="332"/>
      <w:bookmarkEnd w:id="333"/>
    </w:p>
    <w:p>
      <w:pPr>
        <w:pStyle w:val="4"/>
        <w:spacing w:before="156"/>
        <w:rPr>
          <w:highlight w:val="none"/>
        </w:rPr>
      </w:pPr>
      <w:r>
        <w:rPr>
          <w:highlight w:val="none"/>
        </w:rPr>
        <w:t>综合竞争力</w:t>
      </w:r>
      <w:r>
        <w:rPr>
          <w:rFonts w:hint="eastAsia"/>
          <w:highlight w:val="none"/>
        </w:rPr>
        <w:t>迈上新台阶</w:t>
      </w:r>
    </w:p>
    <w:p>
      <w:pPr>
        <w:ind w:firstLine="560"/>
        <w:rPr>
          <w:highlight w:val="none"/>
        </w:rPr>
      </w:pPr>
      <w:r>
        <w:rPr>
          <w:highlight w:val="none"/>
          <w:lang w:eastAsia="zh-Hans"/>
        </w:rPr>
        <w:t>促进经济发展增加就业。</w:t>
      </w:r>
      <w:r>
        <w:rPr>
          <w:rFonts w:hint="eastAsia"/>
          <w:highlight w:val="none"/>
        </w:rPr>
        <w:t>重点工程</w:t>
      </w:r>
      <w:r>
        <w:rPr>
          <w:highlight w:val="none"/>
          <w:lang w:eastAsia="zh-Hans"/>
        </w:rPr>
        <w:t>项目建设将完善基础设施、带动提升</w:t>
      </w:r>
      <w:r>
        <w:rPr>
          <w:rFonts w:hint="eastAsia"/>
          <w:highlight w:val="none"/>
        </w:rPr>
        <w:t>全区</w:t>
      </w:r>
      <w:r>
        <w:rPr>
          <w:highlight w:val="none"/>
          <w:lang w:eastAsia="zh-Hans"/>
        </w:rPr>
        <w:t>现代化建设水平</w:t>
      </w:r>
      <w:r>
        <w:rPr>
          <w:rFonts w:hint="eastAsia"/>
          <w:highlight w:val="none"/>
        </w:rPr>
        <w:t>，并为群众提供更多就业机会，帮助</w:t>
      </w:r>
      <w:r>
        <w:rPr>
          <w:highlight w:val="none"/>
          <w:lang w:eastAsia="zh-Hans"/>
        </w:rPr>
        <w:t>提</w:t>
      </w:r>
      <w:r>
        <w:rPr>
          <w:rFonts w:hint="eastAsia"/>
          <w:highlight w:val="none"/>
        </w:rPr>
        <w:t>高公众</w:t>
      </w:r>
      <w:r>
        <w:rPr>
          <w:highlight w:val="none"/>
          <w:lang w:eastAsia="zh-Hans"/>
        </w:rPr>
        <w:t>生产劳动技能和水平。提升</w:t>
      </w:r>
      <w:r>
        <w:rPr>
          <w:rFonts w:hint="eastAsia"/>
          <w:highlight w:val="none"/>
        </w:rPr>
        <w:t>泰山区</w:t>
      </w:r>
      <w:r>
        <w:rPr>
          <w:highlight w:val="none"/>
          <w:lang w:eastAsia="zh-Hans"/>
        </w:rPr>
        <w:t>形象和美誉。</w:t>
      </w:r>
      <w:r>
        <w:rPr>
          <w:rFonts w:hint="eastAsia"/>
          <w:highlight w:val="none"/>
        </w:rPr>
        <w:t>泰山区</w:t>
      </w:r>
      <w:r>
        <w:rPr>
          <w:highlight w:val="none"/>
          <w:lang w:eastAsia="zh-Hans"/>
        </w:rPr>
        <w:t>具有深厚的历史</w:t>
      </w:r>
      <w:r>
        <w:rPr>
          <w:rFonts w:hint="eastAsia"/>
          <w:highlight w:val="none"/>
        </w:rPr>
        <w:t>文化</w:t>
      </w:r>
      <w:r>
        <w:rPr>
          <w:highlight w:val="none"/>
          <w:lang w:eastAsia="zh-Hans"/>
        </w:rPr>
        <w:t>底蕴，一代又一代</w:t>
      </w:r>
      <w:r>
        <w:rPr>
          <w:rFonts w:hint="eastAsia"/>
          <w:highlight w:val="none"/>
        </w:rPr>
        <w:t>泰山人勇做新时代“泰山挑山工”的精神，是泰山区</w:t>
      </w:r>
      <w:r>
        <w:rPr>
          <w:highlight w:val="none"/>
          <w:lang w:eastAsia="zh-Hans"/>
        </w:rPr>
        <w:t>人强大的动力源泉。生态文明示范区</w:t>
      </w:r>
      <w:r>
        <w:rPr>
          <w:rFonts w:hint="eastAsia"/>
          <w:highlight w:val="none"/>
        </w:rPr>
        <w:t>建设将使泰山区</w:t>
      </w:r>
      <w:r>
        <w:rPr>
          <w:highlight w:val="none"/>
          <w:lang w:eastAsia="zh-Hans"/>
        </w:rPr>
        <w:t>城市品位和形象得到大幅提升，投资环境的竞争力大大增强，知名度进一步提高，成为国内外资本争相投入的投资热土，为经济发展带来强劲的推动力</w:t>
      </w:r>
      <w:r>
        <w:rPr>
          <w:rFonts w:hint="eastAsia"/>
          <w:highlight w:val="none"/>
        </w:rPr>
        <w:t>，</w:t>
      </w:r>
      <w:r>
        <w:rPr>
          <w:highlight w:val="none"/>
        </w:rPr>
        <w:t>届时，泰山区综合竞争力将迈上一个更高的台阶。</w:t>
      </w:r>
      <w:r>
        <w:rPr>
          <w:highlight w:val="none"/>
          <w:lang w:eastAsia="zh-Hans"/>
        </w:rPr>
        <w:t>激发社会创造力凝聚力。通过生态文化理念宣传、教育和相关产业经济、社会体系建设，有利于整个社会生态文明程度和人口素质的显著提高，争获生态文明建设示范区荣誉，有助于持续增强</w:t>
      </w:r>
      <w:r>
        <w:rPr>
          <w:rFonts w:hint="eastAsia"/>
          <w:highlight w:val="none"/>
        </w:rPr>
        <w:t>全区</w:t>
      </w:r>
      <w:r>
        <w:rPr>
          <w:highlight w:val="none"/>
          <w:lang w:eastAsia="zh-Hans"/>
        </w:rPr>
        <w:t>干部群众荣誉感、自信心与凝聚力，以更加饱满的精神力量建设美丽家园、再创辉煌。</w:t>
      </w:r>
    </w:p>
    <w:p>
      <w:pPr>
        <w:pStyle w:val="4"/>
        <w:spacing w:before="156"/>
        <w:rPr>
          <w:highlight w:val="none"/>
        </w:rPr>
      </w:pPr>
      <w:bookmarkStart w:id="334" w:name="_Hlk137729859"/>
      <w:bookmarkStart w:id="335" w:name="_Hlk135937670"/>
      <w:r>
        <w:rPr>
          <w:highlight w:val="none"/>
        </w:rPr>
        <w:t>生态文明意识全面提高</w:t>
      </w:r>
    </w:p>
    <w:p>
      <w:pPr>
        <w:ind w:firstLine="560"/>
        <w:rPr>
          <w:highlight w:val="none"/>
        </w:rPr>
      </w:pPr>
      <w:r>
        <w:rPr>
          <w:highlight w:val="none"/>
        </w:rPr>
        <w:t>通过政府、企业、社会组织等开展的形式多样的生态文明建设宣传活动，公众对生态文明的知晓度、参与度将明显提升，自觉践行资源节约、绿色消费的主动性、积极性将明显增强，并不断转化为行动自觉，推动形成广泛的绿色、环保、节约、低碳消费模式和生活方式</w:t>
      </w:r>
      <w:r>
        <w:rPr>
          <w:rFonts w:hint="eastAsia"/>
          <w:highlight w:val="none"/>
        </w:rPr>
        <w:t>。</w:t>
      </w:r>
      <w:r>
        <w:rPr>
          <w:highlight w:val="none"/>
        </w:rPr>
        <w:t>生态文明建设的社会参与程度达到新高度</w:t>
      </w:r>
      <w:r>
        <w:rPr>
          <w:rFonts w:hint="eastAsia"/>
          <w:highlight w:val="none"/>
        </w:rPr>
        <w:t>，</w:t>
      </w:r>
      <w:r>
        <w:rPr>
          <w:highlight w:val="none"/>
        </w:rPr>
        <w:t>力争到2025年，公众对生态文明建设的参与度达9</w:t>
      </w:r>
      <w:r>
        <w:rPr>
          <w:rFonts w:hint="eastAsia"/>
          <w:highlight w:val="none"/>
        </w:rPr>
        <w:t>0</w:t>
      </w:r>
      <w:r>
        <w:rPr>
          <w:highlight w:val="none"/>
        </w:rPr>
        <w:t>%，2030年达9</w:t>
      </w:r>
      <w:r>
        <w:rPr>
          <w:rFonts w:hint="eastAsia"/>
          <w:highlight w:val="none"/>
        </w:rPr>
        <w:t>2</w:t>
      </w:r>
      <w:r>
        <w:rPr>
          <w:highlight w:val="none"/>
        </w:rPr>
        <w:t>%。人民生活满意度有效提高。生态文明建设将有效减少生态破坏和环境污染问题的发生以及由此带来的人体健康危害，人民群众</w:t>
      </w:r>
      <w:r>
        <w:rPr>
          <w:rFonts w:hint="eastAsia"/>
          <w:highlight w:val="none"/>
        </w:rPr>
        <w:t>生态文明建设获得感有所提高，</w:t>
      </w:r>
      <w:r>
        <w:rPr>
          <w:highlight w:val="none"/>
        </w:rPr>
        <w:t>对美好生态环境的期盼将不断得到满足，充分共享生态文明建设成果</w:t>
      </w:r>
      <w:bookmarkEnd w:id="334"/>
      <w:r>
        <w:rPr>
          <w:highlight w:val="none"/>
        </w:rPr>
        <w:t>。</w:t>
      </w:r>
    </w:p>
    <w:bookmarkEnd w:id="335"/>
    <w:p>
      <w:pPr>
        <w:pStyle w:val="4"/>
        <w:spacing w:before="156"/>
        <w:rPr>
          <w:highlight w:val="none"/>
        </w:rPr>
      </w:pPr>
      <w:r>
        <w:rPr>
          <w:highlight w:val="none"/>
        </w:rPr>
        <w:t>人居环境生活品质</w:t>
      </w:r>
      <w:r>
        <w:rPr>
          <w:rFonts w:hint="eastAsia"/>
          <w:highlight w:val="none"/>
        </w:rPr>
        <w:t>提升</w:t>
      </w:r>
    </w:p>
    <w:p>
      <w:pPr>
        <w:ind w:firstLine="560"/>
        <w:rPr>
          <w:highlight w:val="none"/>
        </w:rPr>
      </w:pPr>
      <w:r>
        <w:rPr>
          <w:highlight w:val="none"/>
        </w:rPr>
        <w:t>经过本规划各治理方案的实施，泰山区生态环境</w:t>
      </w:r>
      <w:r>
        <w:rPr>
          <w:rFonts w:hint="eastAsia"/>
          <w:highlight w:val="none"/>
        </w:rPr>
        <w:t>和</w:t>
      </w:r>
      <w:r>
        <w:rPr>
          <w:highlight w:val="none"/>
        </w:rPr>
        <w:t>居民生活环境得到大幅改善。城乡形象品质不断提升。城镇绿地建设、农村环境治理、城乡基础设施建设等，将不断提升城乡品质，缩小城乡差距，提高城乡居民基本公共服务均等化水平。产业发展将带动就业人口增加，提高社会整体素养。通过生态文化、生态社区以及居住区环境景观建设，将使生态意识、绿色消费观念走进生活，居民环保意识、消费品位和生态文化素质不断提高，大众对生态环境保护积极参与，在创造出一种人与环境友好、邻里和睦相处的社区氛围的同时，逐步提高泰山区整体生态文化和消费品位，促进和保障生态系统健康、持续发展。</w:t>
      </w:r>
    </w:p>
    <w:p>
      <w:pPr>
        <w:pStyle w:val="3"/>
        <w:rPr>
          <w:b/>
          <w:bCs w:val="0"/>
          <w:highlight w:val="none"/>
        </w:rPr>
      </w:pPr>
      <w:bookmarkStart w:id="336" w:name="_Toc143041465"/>
      <w:bookmarkStart w:id="337" w:name="_Toc5148"/>
      <w:bookmarkStart w:id="338" w:name="_Toc28344"/>
      <w:bookmarkStart w:id="339" w:name="_Toc31672"/>
      <w:bookmarkStart w:id="340" w:name="_Toc24874"/>
      <w:r>
        <w:rPr>
          <w:rFonts w:hint="eastAsia"/>
          <w:b/>
          <w:bCs w:val="0"/>
          <w:highlight w:val="none"/>
        </w:rPr>
        <w:t>经济效益</w:t>
      </w:r>
      <w:bookmarkEnd w:id="336"/>
      <w:bookmarkEnd w:id="337"/>
      <w:bookmarkEnd w:id="338"/>
      <w:bookmarkEnd w:id="339"/>
      <w:bookmarkEnd w:id="340"/>
    </w:p>
    <w:p>
      <w:pPr>
        <w:pStyle w:val="4"/>
        <w:spacing w:before="156"/>
        <w:rPr>
          <w:highlight w:val="none"/>
        </w:rPr>
      </w:pPr>
      <w:r>
        <w:rPr>
          <w:rFonts w:hint="eastAsia"/>
          <w:highlight w:val="none"/>
        </w:rPr>
        <w:t>经济发展质量显著提高</w:t>
      </w:r>
    </w:p>
    <w:p>
      <w:pPr>
        <w:ind w:firstLine="560"/>
        <w:rPr>
          <w:highlight w:val="none"/>
        </w:rPr>
      </w:pPr>
      <w:r>
        <w:rPr>
          <w:highlight w:val="none"/>
        </w:rPr>
        <w:t>通过产业经济结构调整</w:t>
      </w:r>
      <w:r>
        <w:rPr>
          <w:rFonts w:hint="eastAsia"/>
          <w:highlight w:val="none"/>
        </w:rPr>
        <w:t>，实现经济总量规模稳步提升，产业结构显著优化，工业创新能力显著增强，产品质量进一步提升，关键核心技术更成熟，工业数字化、网络化、智能化等全面突破。</w:t>
      </w:r>
      <w:r>
        <w:rPr>
          <w:highlight w:val="none"/>
        </w:rPr>
        <w:t>规划利用政策和法规措施的适度调节，改善能源消费结构，提高天然气等清洁能源</w:t>
      </w:r>
      <w:r>
        <w:rPr>
          <w:rFonts w:hint="eastAsia"/>
          <w:highlight w:val="none"/>
        </w:rPr>
        <w:t>使用</w:t>
      </w:r>
      <w:r>
        <w:rPr>
          <w:highlight w:val="none"/>
        </w:rPr>
        <w:t>，提高产能效益，关停并淘汰低产能高排污企业，最大限度减少污染排放。</w:t>
      </w:r>
      <w:r>
        <w:rPr>
          <w:rFonts w:hint="eastAsia"/>
          <w:highlight w:val="none"/>
        </w:rPr>
        <w:t>泰安跨境城市配仓产业园项目、泰山民生物流园基础设施配套建设工程、10千伏配电网供电能力提升工程等项目实施，产业结构持续优化。工业总产值持续攀升，新旧动能转换不断加快，逐步形成“3+1”的产业格局，即以纺织服装产业、食品及酒类酿造产业、高端装备制造业为优势，以数字经济为核心培育的现代产业体系。</w:t>
      </w:r>
    </w:p>
    <w:p>
      <w:pPr>
        <w:pStyle w:val="4"/>
        <w:spacing w:before="156"/>
        <w:rPr>
          <w:highlight w:val="none"/>
        </w:rPr>
      </w:pPr>
      <w:r>
        <w:rPr>
          <w:rFonts w:hint="eastAsia"/>
          <w:highlight w:val="none"/>
        </w:rPr>
        <w:t>产业绿色水平有所发展</w:t>
      </w:r>
    </w:p>
    <w:p>
      <w:pPr>
        <w:ind w:firstLine="560"/>
        <w:rPr>
          <w:rFonts w:cs="Times New Roman"/>
          <w:szCs w:val="24"/>
          <w:highlight w:val="none"/>
        </w:rPr>
      </w:pPr>
      <w:bookmarkStart w:id="341" w:name="_Hlk119067296"/>
      <w:r>
        <w:rPr>
          <w:highlight w:val="none"/>
        </w:rPr>
        <w:t>规划实施将进一步激发绿色低碳高新产业发展，降低产业发展对资源能源</w:t>
      </w:r>
      <w:r>
        <w:rPr>
          <w:rFonts w:hint="eastAsia"/>
          <w:highlight w:val="none"/>
        </w:rPr>
        <w:t>的</w:t>
      </w:r>
      <w:r>
        <w:rPr>
          <w:highlight w:val="none"/>
        </w:rPr>
        <w:t>消耗，节约水电资源投入，提升资源能源利用效率，严控新增建设用地规模，单位面积建设用地经济产出</w:t>
      </w:r>
      <w:r>
        <w:rPr>
          <w:rFonts w:hint="eastAsia"/>
          <w:highlight w:val="none"/>
        </w:rPr>
        <w:t>有所</w:t>
      </w:r>
      <w:r>
        <w:rPr>
          <w:highlight w:val="none"/>
        </w:rPr>
        <w:t>增加，绿色经济产品附加值</w:t>
      </w:r>
      <w:r>
        <w:rPr>
          <w:rFonts w:hint="eastAsia"/>
          <w:highlight w:val="none"/>
        </w:rPr>
        <w:t>有所</w:t>
      </w:r>
      <w:r>
        <w:rPr>
          <w:highlight w:val="none"/>
        </w:rPr>
        <w:t>提高。加强固体废物处置和管理，提升了农业废弃物资源化利用率及生产清洁化水平，增加了城市魅力，从而拉动投资</w:t>
      </w:r>
      <w:r>
        <w:rPr>
          <w:rFonts w:hint="eastAsia"/>
          <w:highlight w:val="none"/>
        </w:rPr>
        <w:t>、</w:t>
      </w:r>
      <w:r>
        <w:rPr>
          <w:highlight w:val="none"/>
        </w:rPr>
        <w:t>激发经济活力。</w:t>
      </w:r>
      <w:bookmarkEnd w:id="341"/>
      <w:r>
        <w:rPr>
          <w:rFonts w:hint="eastAsia"/>
          <w:highlight w:val="none"/>
        </w:rPr>
        <w:t>整个经济系统的投入产出比进一步提高，单位GDP能耗、水耗达到山东省下达的考核标准，经济增长方式实现向绿色高效模式的转变。</w:t>
      </w:r>
      <w:r>
        <w:rPr>
          <w:rFonts w:cs="Times New Roman"/>
          <w:szCs w:val="24"/>
          <w:highlight w:val="none"/>
        </w:rPr>
        <w:t>通过大力发展旅游、会展、物流、商贸</w:t>
      </w:r>
      <w:r>
        <w:rPr>
          <w:rFonts w:hint="eastAsia" w:cs="Times New Roman"/>
          <w:szCs w:val="24"/>
          <w:highlight w:val="none"/>
        </w:rPr>
        <w:t>等</w:t>
      </w:r>
      <w:r>
        <w:rPr>
          <w:rFonts w:cs="Times New Roman"/>
          <w:szCs w:val="24"/>
          <w:highlight w:val="none"/>
        </w:rPr>
        <w:t>为主要特色的现代服务业体系，将有效减少资源消耗</w:t>
      </w:r>
      <w:r>
        <w:rPr>
          <w:rFonts w:hint="eastAsia" w:cs="Times New Roman"/>
          <w:szCs w:val="24"/>
          <w:highlight w:val="none"/>
        </w:rPr>
        <w:t>和</w:t>
      </w:r>
      <w:r>
        <w:rPr>
          <w:rFonts w:cs="Times New Roman"/>
          <w:szCs w:val="24"/>
          <w:highlight w:val="none"/>
        </w:rPr>
        <w:t>污染物排放，美化</w:t>
      </w:r>
      <w:r>
        <w:rPr>
          <w:rFonts w:hint="eastAsia" w:cs="Times New Roman"/>
          <w:szCs w:val="24"/>
          <w:highlight w:val="none"/>
        </w:rPr>
        <w:t>和</w:t>
      </w:r>
      <w:r>
        <w:rPr>
          <w:rFonts w:cs="Times New Roman"/>
          <w:szCs w:val="24"/>
          <w:highlight w:val="none"/>
        </w:rPr>
        <w:t>保护生态环境。最终形成绿色、活力、具有强大竞争力的现代产业体系。</w:t>
      </w:r>
    </w:p>
    <w:p>
      <w:pPr>
        <w:pStyle w:val="4"/>
        <w:spacing w:before="156"/>
        <w:rPr>
          <w:highlight w:val="none"/>
        </w:rPr>
      </w:pPr>
      <w:r>
        <w:rPr>
          <w:highlight w:val="none"/>
        </w:rPr>
        <w:t>资源利用效率</w:t>
      </w:r>
      <w:r>
        <w:rPr>
          <w:rFonts w:hint="eastAsia"/>
          <w:highlight w:val="none"/>
        </w:rPr>
        <w:t>得到增加</w:t>
      </w:r>
    </w:p>
    <w:p>
      <w:pPr>
        <w:ind w:firstLine="560"/>
        <w:rPr>
          <w:highlight w:val="none"/>
        </w:rPr>
      </w:pPr>
      <w:r>
        <w:rPr>
          <w:highlight w:val="none"/>
        </w:rPr>
        <w:t>通过提升节水和科学用水等措施，全面提高泰山区的水资源利用效率；按量供水转变为按需分质供水，有效地保障城市水的良性循环，改变泰山区水质面貌。实现节能增效，使能源本地化和清洁化程度大大提高，同时全面缓解城市面临的资源能源紧缺局面。推进工业、能源、建筑、交通、农业等重点领域节能降碳，推动城乡形成低碳节能的生产、生活、消费方式</w:t>
      </w:r>
      <w:r>
        <w:rPr>
          <w:rFonts w:hint="eastAsia"/>
          <w:highlight w:val="none"/>
        </w:rPr>
        <w:t>，促进经济社会发展可持续步伐更加坚定。</w:t>
      </w:r>
    </w:p>
    <w:p>
      <w:pPr>
        <w:ind w:firstLine="560"/>
        <w:rPr>
          <w:highlight w:val="none"/>
        </w:rPr>
      </w:pPr>
      <w:bookmarkStart w:id="342" w:name="_Toc143041466"/>
      <w:bookmarkStart w:id="343" w:name="_Toc5151"/>
      <w:bookmarkStart w:id="344" w:name="_Toc22107"/>
      <w:r>
        <w:rPr>
          <w:highlight w:val="none"/>
        </w:rPr>
        <w:br w:type="page"/>
      </w:r>
    </w:p>
    <w:p>
      <w:pPr>
        <w:pStyle w:val="2"/>
        <w:rPr>
          <w:highlight w:val="none"/>
        </w:rPr>
      </w:pPr>
      <w:bookmarkStart w:id="345" w:name="_Toc215"/>
      <w:r>
        <w:rPr>
          <w:highlight w:val="none"/>
        </w:rPr>
        <w:t>保障措施</w:t>
      </w:r>
      <w:bookmarkEnd w:id="342"/>
      <w:bookmarkEnd w:id="343"/>
      <w:bookmarkEnd w:id="344"/>
      <w:bookmarkEnd w:id="345"/>
    </w:p>
    <w:p>
      <w:pPr>
        <w:pStyle w:val="3"/>
        <w:rPr>
          <w:b/>
          <w:bCs w:val="0"/>
          <w:highlight w:val="none"/>
        </w:rPr>
      </w:pPr>
      <w:bookmarkStart w:id="346" w:name="_Toc13817"/>
      <w:bookmarkStart w:id="347" w:name="_Toc31818582"/>
      <w:bookmarkStart w:id="348" w:name="_Toc24105"/>
      <w:bookmarkStart w:id="349" w:name="_Toc143041467"/>
      <w:bookmarkStart w:id="350" w:name="_Toc39735028"/>
      <w:bookmarkStart w:id="351" w:name="_Toc13017"/>
      <w:r>
        <w:rPr>
          <w:b/>
          <w:bCs w:val="0"/>
          <w:highlight w:val="none"/>
        </w:rPr>
        <w:t>组织保障</w:t>
      </w:r>
      <w:bookmarkEnd w:id="346"/>
      <w:bookmarkEnd w:id="347"/>
      <w:bookmarkEnd w:id="348"/>
      <w:bookmarkEnd w:id="349"/>
      <w:bookmarkEnd w:id="350"/>
      <w:bookmarkEnd w:id="351"/>
    </w:p>
    <w:p>
      <w:pPr>
        <w:ind w:firstLine="560"/>
        <w:rPr>
          <w:szCs w:val="30"/>
          <w:highlight w:val="none"/>
        </w:rPr>
      </w:pPr>
      <w:r>
        <w:rPr>
          <w:rFonts w:hint="eastAsia"/>
          <w:szCs w:val="30"/>
          <w:highlight w:val="none"/>
        </w:rPr>
        <w:t>泰山区</w:t>
      </w:r>
      <w:r>
        <w:rPr>
          <w:szCs w:val="30"/>
          <w:highlight w:val="none"/>
        </w:rPr>
        <w:t>生态文明建设工作领导小组统一部署和组织推进生态文明建设工作。</w:t>
      </w:r>
      <w:r>
        <w:rPr>
          <w:highlight w:val="none"/>
        </w:rPr>
        <w:t>各街镇</w:t>
      </w:r>
      <w:r>
        <w:rPr>
          <w:szCs w:val="30"/>
          <w:highlight w:val="none"/>
        </w:rPr>
        <w:t>、各部门</w:t>
      </w:r>
      <w:r>
        <w:rPr>
          <w:highlight w:val="none"/>
        </w:rPr>
        <w:t>严格按照</w:t>
      </w:r>
      <w:r>
        <w:rPr>
          <w:szCs w:val="30"/>
          <w:highlight w:val="none"/>
        </w:rPr>
        <w:t>相应规划任务细化工作内容，明确责任人、具体举措、完成时间等，形成详细工作计划</w:t>
      </w:r>
      <w:r>
        <w:rPr>
          <w:highlight w:val="none"/>
        </w:rPr>
        <w:t>。建立良好沟通机制，</w:t>
      </w:r>
      <w:r>
        <w:rPr>
          <w:szCs w:val="30"/>
          <w:highlight w:val="none"/>
        </w:rPr>
        <w:t>定期调度工作进展，就推进工作中遇到的问题加强指导和沟通协调，做好统筹推进、综合研判、监督考核等各项工作。严格落实主体责任，将生态文明建设具体工作纳入年度工作计划和重点督办事项，切实推动各项内容落地落实落细。形成责任明确、分工协作、齐抓共管、高效有力的工作机制，合力推进各项工作有序有效完成。</w:t>
      </w:r>
    </w:p>
    <w:p>
      <w:pPr>
        <w:pStyle w:val="3"/>
        <w:rPr>
          <w:b/>
          <w:bCs w:val="0"/>
          <w:highlight w:val="none"/>
        </w:rPr>
      </w:pPr>
      <w:bookmarkStart w:id="352" w:name="_Toc143041468"/>
      <w:bookmarkStart w:id="353" w:name="_Toc28941"/>
      <w:bookmarkStart w:id="354" w:name="_Toc19916"/>
      <w:bookmarkStart w:id="355" w:name="_Toc27269"/>
      <w:r>
        <w:rPr>
          <w:b/>
          <w:bCs w:val="0"/>
          <w:highlight w:val="none"/>
        </w:rPr>
        <w:t>能力保障</w:t>
      </w:r>
      <w:bookmarkEnd w:id="352"/>
      <w:bookmarkEnd w:id="353"/>
      <w:bookmarkEnd w:id="354"/>
      <w:bookmarkEnd w:id="355"/>
    </w:p>
    <w:p>
      <w:pPr>
        <w:ind w:firstLine="560"/>
        <w:rPr>
          <w:highlight w:val="none"/>
        </w:rPr>
      </w:pPr>
      <w:r>
        <w:rPr>
          <w:highlight w:val="none"/>
        </w:rPr>
        <w:t>着力提高监管能力和执政效能，健全监管体系。加大规划实施督查力度，建立专项督查、联合督查</w:t>
      </w:r>
      <w:r>
        <w:rPr>
          <w:rFonts w:hint="eastAsia"/>
          <w:highlight w:val="none"/>
        </w:rPr>
        <w:t>与</w:t>
      </w:r>
      <w:r>
        <w:rPr>
          <w:highlight w:val="none"/>
        </w:rPr>
        <w:t>定期督查机制。健全考核评价和奖惩机制，确保各项工作落到实处，取得预期效果。制定考核办法，将规划实施情况纳入街道镇、区直有关部门经济社会发展综合考核。加强各级部门协作配合，有序整合不同领域、不同部门、不同层次的监管力量，有效进行环境监管和执法工作。加强环境监察队伍建设，推进联合执法，严厉打击违法排污</w:t>
      </w:r>
      <w:r>
        <w:rPr>
          <w:rFonts w:hint="eastAsia"/>
          <w:highlight w:val="none"/>
        </w:rPr>
        <w:t>行为</w:t>
      </w:r>
      <w:r>
        <w:rPr>
          <w:highlight w:val="none"/>
        </w:rPr>
        <w:t>。在污染防治、生态保护修复、环境风险防范、环境影响评价、环境执法监督、环境</w:t>
      </w:r>
      <w:r>
        <w:rPr>
          <w:rFonts w:hint="eastAsia"/>
          <w:highlight w:val="none"/>
        </w:rPr>
        <w:t>监测</w:t>
      </w:r>
      <w:r>
        <w:rPr>
          <w:highlight w:val="none"/>
        </w:rPr>
        <w:t>预警等方面制定科学规范的制度，为实施统一监管和提升执法效能提供保障。提高环境监督执法能力建设，以生态文明建设工作为契机，加大监察执法人员培训力度，健全人才引进与培养机制，全面提高业务素质，使管理水平和服务质量规范化、程序化和标准化。</w:t>
      </w:r>
    </w:p>
    <w:p>
      <w:pPr>
        <w:pStyle w:val="3"/>
        <w:rPr>
          <w:b/>
          <w:bCs w:val="0"/>
          <w:highlight w:val="none"/>
        </w:rPr>
      </w:pPr>
      <w:bookmarkStart w:id="356" w:name="_Toc24502"/>
      <w:bookmarkStart w:id="357" w:name="_Toc24625"/>
      <w:bookmarkStart w:id="358" w:name="_Toc12471"/>
      <w:bookmarkStart w:id="359" w:name="_Toc23389"/>
      <w:bookmarkStart w:id="360" w:name="_Toc143041469"/>
      <w:bookmarkStart w:id="361" w:name="_Toc17758"/>
      <w:r>
        <w:rPr>
          <w:b/>
          <w:bCs w:val="0"/>
          <w:highlight w:val="none"/>
        </w:rPr>
        <w:t>资金保障</w:t>
      </w:r>
      <w:bookmarkEnd w:id="356"/>
      <w:bookmarkEnd w:id="357"/>
      <w:bookmarkEnd w:id="358"/>
      <w:bookmarkEnd w:id="359"/>
      <w:bookmarkEnd w:id="360"/>
    </w:p>
    <w:p>
      <w:pPr>
        <w:ind w:firstLine="560"/>
        <w:rPr>
          <w:highlight w:val="none"/>
        </w:rPr>
      </w:pPr>
      <w:r>
        <w:rPr>
          <w:highlight w:val="none"/>
        </w:rPr>
        <w:t>建立稳定长效的财政投入增长机制。根据生态文明建设的总体目标、建设任务、重点工程以及区域经济发展水平，科学合理调整优化</w:t>
      </w:r>
      <w:r>
        <w:rPr>
          <w:rFonts w:hint="eastAsia"/>
          <w:highlight w:val="none"/>
        </w:rPr>
        <w:t>全区</w:t>
      </w:r>
      <w:r>
        <w:rPr>
          <w:highlight w:val="none"/>
        </w:rPr>
        <w:t>财政支出结构，将生态文明建设纳入本年度财政预算，作为公共财政的重点支出对象，确保规划重点工程顺利推进。发挥政府财政资金引导和调动社会投资的作用，多措并举拓宽筹资渠道，根据实际需要制定政府主导、企业社会共担、投入与效益共享的资金筹措和融合机制。积极申请中央、山东省生态环境保护</w:t>
      </w:r>
      <w:r>
        <w:rPr>
          <w:rFonts w:hint="eastAsia"/>
          <w:highlight w:val="none"/>
        </w:rPr>
        <w:t>和</w:t>
      </w:r>
      <w:r>
        <w:rPr>
          <w:highlight w:val="none"/>
        </w:rPr>
        <w:t>大气、水、土壤污染防治以及生态保护修复</w:t>
      </w:r>
      <w:r>
        <w:rPr>
          <w:rFonts w:hint="eastAsia"/>
          <w:highlight w:val="none"/>
        </w:rPr>
        <w:t>等</w:t>
      </w:r>
      <w:r>
        <w:rPr>
          <w:highlight w:val="none"/>
        </w:rPr>
        <w:t>专项资金支持。强化金融服务支撑，制定和完善投融资政策，充分运用市场化手段搭建合作平台，发挥多层次资本市场的融资功能，鼓励和引导社会资本参与生态文明建设领域多元化投入。提高生态文明建设资金使用效率，加快推进重点工程进入市场运行实施。依法落实国家环保、节能、节水、资源综合利用等方面的税收优惠政策。用好生态补偿资金，争取多种形式生态补偿资金。</w:t>
      </w:r>
    </w:p>
    <w:p>
      <w:pPr>
        <w:pStyle w:val="3"/>
        <w:rPr>
          <w:b/>
          <w:bCs w:val="0"/>
          <w:highlight w:val="none"/>
        </w:rPr>
      </w:pPr>
      <w:bookmarkStart w:id="362" w:name="_Toc26265"/>
      <w:bookmarkStart w:id="363" w:name="_Toc9072"/>
      <w:bookmarkStart w:id="364" w:name="_Toc143041470"/>
      <w:bookmarkStart w:id="365" w:name="_Toc25027"/>
      <w:bookmarkStart w:id="366" w:name="_Toc23447"/>
      <w:r>
        <w:rPr>
          <w:b/>
          <w:bCs w:val="0"/>
          <w:highlight w:val="none"/>
        </w:rPr>
        <w:t>科技支撑</w:t>
      </w:r>
      <w:bookmarkEnd w:id="361"/>
      <w:bookmarkEnd w:id="362"/>
      <w:bookmarkEnd w:id="363"/>
      <w:bookmarkEnd w:id="364"/>
      <w:bookmarkEnd w:id="365"/>
      <w:bookmarkEnd w:id="366"/>
    </w:p>
    <w:p>
      <w:pPr>
        <w:ind w:firstLine="560"/>
        <w:rPr>
          <w:highlight w:val="none"/>
        </w:rPr>
      </w:pPr>
      <w:r>
        <w:rPr>
          <w:highlight w:val="none"/>
        </w:rPr>
        <w:t>围绕泰山区生态文明建设的工作和决策需求，在涉及生态建设和环境保护的关键领域进行重点研究。开展生态文明重大决策、重大方针政策、重要改革方案、重要规章及重要文件咨询与评估，组织重大项目建议书、可行性研究报告、环评报告评估论证。引进、推广新技术，提升</w:t>
      </w:r>
      <w:r>
        <w:rPr>
          <w:rFonts w:hint="eastAsia"/>
          <w:highlight w:val="none"/>
        </w:rPr>
        <w:t>全区</w:t>
      </w:r>
      <w:r>
        <w:rPr>
          <w:highlight w:val="none"/>
        </w:rPr>
        <w:t>科技推广与应用，形成良好的产学研联合机制。扩大合作交流，积极吸收和借鉴国内外有关生态环境保护与生态文明建设先进经验，提高生态文明建设水平。强化科技队伍建设。营造良好的人才发展环境，加大生态环境保护相关专业人才的引进和培养</w:t>
      </w:r>
      <w:r>
        <w:rPr>
          <w:rFonts w:hint="eastAsia"/>
          <w:highlight w:val="none"/>
        </w:rPr>
        <w:t>，</w:t>
      </w:r>
      <w:r>
        <w:rPr>
          <w:highlight w:val="none"/>
        </w:rPr>
        <w:t>持续开展生态文明专题培训，提高人员生态文明建设能力。</w:t>
      </w:r>
    </w:p>
    <w:p>
      <w:pPr>
        <w:pStyle w:val="3"/>
        <w:rPr>
          <w:b/>
          <w:bCs w:val="0"/>
          <w:highlight w:val="none"/>
        </w:rPr>
      </w:pPr>
      <w:bookmarkStart w:id="367" w:name="_Toc27293"/>
      <w:bookmarkStart w:id="368" w:name="_Toc22986"/>
      <w:bookmarkStart w:id="369" w:name="_Toc23737"/>
      <w:bookmarkStart w:id="370" w:name="_Toc31555"/>
      <w:bookmarkStart w:id="371" w:name="_Toc143041471"/>
      <w:r>
        <w:rPr>
          <w:b/>
          <w:bCs w:val="0"/>
          <w:highlight w:val="none"/>
        </w:rPr>
        <w:t>公众参与</w:t>
      </w:r>
      <w:bookmarkEnd w:id="367"/>
      <w:bookmarkEnd w:id="368"/>
      <w:bookmarkEnd w:id="369"/>
      <w:bookmarkEnd w:id="370"/>
      <w:bookmarkEnd w:id="371"/>
    </w:p>
    <w:p>
      <w:pPr>
        <w:ind w:firstLine="560"/>
        <w:rPr>
          <w:highlight w:val="none"/>
        </w:rPr>
      </w:pPr>
      <w:r>
        <w:rPr>
          <w:highlight w:val="none"/>
        </w:rPr>
        <w:t>形成</w:t>
      </w:r>
      <w:r>
        <w:rPr>
          <w:rFonts w:hint="eastAsia"/>
          <w:highlight w:val="none"/>
        </w:rPr>
        <w:t>区</w:t>
      </w:r>
      <w:r>
        <w:rPr>
          <w:highlight w:val="none"/>
        </w:rPr>
        <w:t>政府统一领导，各部门分工协作，各镇街分级实施，全社会广泛参与，上下协调，左右联动的推进机制。坚持党的群众路线，虚心听取群众意见，建立社会参与机制，调动广大群众的积极性、主动性、创造性，动员其参与到生态文明建设的各项活动中来。健全政府与企业、公众的沟通机制，推进规划实施信息公开</w:t>
      </w:r>
      <w:r>
        <w:rPr>
          <w:rFonts w:hint="eastAsia"/>
          <w:highlight w:val="none"/>
        </w:rPr>
        <w:t>。</w:t>
      </w:r>
      <w:r>
        <w:rPr>
          <w:highlight w:val="none"/>
        </w:rPr>
        <w:t>强化社会监督机制，政府和有关部门要充分利用互联网、广播、电视、报刊、短视频、微博、微信公众号等多种新闻媒体平台，广泛开展多层次、多形式的舆论宣传和科普教育，及时宣传报道典型案例，公开揭露和批评违法违规行为，增加与公众在生态环境保护与生态文明建设领域的互动。充分发挥媒体舆论监督作用，不定期地公布生态文明建设工作进展与全区生态环境状况，扩大公民对生态环境与生态文明建设的知情权、参与权，促进政务决策的科学化、民主化。引导</w:t>
      </w:r>
      <w:r>
        <w:rPr>
          <w:rFonts w:hint="eastAsia"/>
          <w:highlight w:val="none"/>
        </w:rPr>
        <w:t>公众</w:t>
      </w:r>
      <w:r>
        <w:rPr>
          <w:highlight w:val="none"/>
        </w:rPr>
        <w:t>自觉履行社会责任</w:t>
      </w:r>
      <w:r>
        <w:rPr>
          <w:rFonts w:hint="eastAsia"/>
          <w:highlight w:val="none"/>
        </w:rPr>
        <w:t>，</w:t>
      </w:r>
      <w:r>
        <w:rPr>
          <w:highlight w:val="none"/>
        </w:rPr>
        <w:t>设立群众意见的反馈机制，鼓励社会公众检举揭发各种生态环境</w:t>
      </w:r>
      <w:r>
        <w:rPr>
          <w:rFonts w:hint="eastAsia"/>
          <w:highlight w:val="none"/>
        </w:rPr>
        <w:t>违法</w:t>
      </w:r>
      <w:r>
        <w:rPr>
          <w:highlight w:val="none"/>
        </w:rPr>
        <w:t>行为，报道和表扬先进事例，形成全社会参与生态文明建设的良好社会氛围。</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3-10-25T16:13:00Z" w:initials="L">
    <w:p w14:paraId="1BE23BEA">
      <w:pPr>
        <w:pStyle w:val="14"/>
        <w:rPr>
          <w:rFonts w:hint="eastAsia"/>
        </w:rPr>
      </w:pPr>
      <w:r>
        <w:rPr>
          <w:rFonts w:hint="eastAsia"/>
        </w:rPr>
        <w:t>是否</w:t>
      </w:r>
      <w:r>
        <w:t>能全面优于</w:t>
      </w:r>
    </w:p>
  </w:comment>
  <w:comment w:id="1" w:author="Lenovo" w:date="2023-10-25T16:28:00Z" w:initials="L">
    <w:p w14:paraId="253D2A82">
      <w:pPr>
        <w:pStyle w:val="14"/>
      </w:pPr>
      <w:r>
        <w:rPr>
          <w:rFonts w:hint="eastAsia"/>
        </w:rPr>
        <w:t>是否有相关文件</w:t>
      </w:r>
    </w:p>
  </w:comment>
  <w:comment w:id="2" w:author="Lenovo" w:date="2023-10-25T16:39:00Z" w:initials="L">
    <w:p w14:paraId="3D3A6AAA">
      <w:pPr>
        <w:pStyle w:val="14"/>
        <w:rPr>
          <w:rFonts w:hint="eastAsia"/>
        </w:rPr>
      </w:pPr>
      <w:r>
        <w:rPr>
          <w:rFonts w:hint="eastAsia"/>
        </w:rPr>
        <w:t>建议</w:t>
      </w:r>
      <w:r>
        <w:t>去掉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E23BEA" w15:done="0"/>
  <w15:commentEx w15:paraId="253D2A82" w15:done="0"/>
  <w15:commentEx w15:paraId="3D3A6A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mc:AlternateContent>
        <mc:Choice Requires="wps">
          <w:drawing>
            <wp:anchor distT="0" distB="0" distL="114300" distR="114300" simplePos="0" relativeHeight="251660288" behindDoc="0" locked="0" layoutInCell="1" allowOverlap="1">
              <wp:simplePos x="0" y="0"/>
              <wp:positionH relativeFrom="margin">
                <wp:posOffset>2430145</wp:posOffset>
              </wp:positionH>
              <wp:positionV relativeFrom="paragraph">
                <wp:posOffset>-55245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8908794"/>
                          </w:sdtPr>
                          <w:sdtContent>
                            <w:p>
                              <w:pPr>
                                <w:pStyle w:val="20"/>
                                <w:ind w:firstLine="360"/>
                                <w:jc w:val="center"/>
                              </w:pPr>
                              <w:r>
                                <w:fldChar w:fldCharType="begin"/>
                              </w:r>
                              <w:r>
                                <w:instrText xml:space="preserve">PAGE   \* MERGEFORMAT</w:instrText>
                              </w:r>
                              <w:r>
                                <w:fldChar w:fldCharType="separate"/>
                              </w:r>
                              <w:r>
                                <w:rPr>
                                  <w:lang w:val="zh-CN"/>
                                </w:rPr>
                                <w:t>II</w:t>
                              </w:r>
                              <w:r>
                                <w:fldChar w:fldCharType="end"/>
                              </w:r>
                            </w:p>
                          </w:sdtContent>
                        </w:sdt>
                        <w:p>
                          <w:pPr>
                            <w:pStyle w:val="39"/>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1.35pt;margin-top:-4.35pt;height:144pt;width:144pt;mso-position-horizontal-relative:margin;mso-wrap-style:none;z-index:251660288;mso-width-relative:page;mso-height-relative:page;" filled="f" stroked="f" coordsize="21600,21600" o:gfxdata="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v4GRl1wAAAAoBAAAPAAAAAAAAAAEAIAAAACIAAABkcnMvZG93bnJldi54bWxQSwECFAAU&#10;AAAACACHTuJAYpCETCsCAABXBAAADgAAAAAAAAABACAAAAAmAQAAZHJzL2Uyb0RvYy54bWxQSwUG&#10;AAAAAAYABgBZAQAAwwUAAAAA&#10;">
              <v:fill on="f" focussize="0,0"/>
              <v:stroke on="f" weight="0.5pt"/>
              <v:imagedata o:title=""/>
              <o:lock v:ext="edit" aspectratio="f"/>
              <v:textbox inset="0mm,0mm,0mm,0mm" style="mso-fit-shape-to-text:t;">
                <w:txbxContent>
                  <w:sdt>
                    <w:sdtPr>
                      <w:id w:val="1348908794"/>
                    </w:sdtPr>
                    <w:sdtContent>
                      <w:p>
                        <w:pPr>
                          <w:pStyle w:val="20"/>
                          <w:ind w:firstLine="360"/>
                          <w:jc w:val="center"/>
                        </w:pPr>
                        <w:r>
                          <w:fldChar w:fldCharType="begin"/>
                        </w:r>
                        <w:r>
                          <w:instrText xml:space="preserve">PAGE   \* MERGEFORMAT</w:instrText>
                        </w:r>
                        <w:r>
                          <w:fldChar w:fldCharType="separate"/>
                        </w:r>
                        <w:r>
                          <w:rPr>
                            <w:lang w:val="zh-CN"/>
                          </w:rPr>
                          <w:t>II</w:t>
                        </w:r>
                        <w:r>
                          <w:fldChar w:fldCharType="end"/>
                        </w:r>
                      </w:p>
                    </w:sdtContent>
                  </w:sdt>
                  <w:p>
                    <w:pPr>
                      <w:pStyle w:val="39"/>
                      <w:rPr>
                        <w:rFonts w:hint="default"/>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4536973"/>
    </w:sdtPr>
    <w:sdtContent>
      <w:p>
        <w:pPr>
          <w:pStyle w:val="20"/>
          <w:ind w:firstLine="360"/>
          <w:jc w:val="center"/>
        </w:pPr>
        <w:r>
          <w:fldChar w:fldCharType="begin"/>
        </w:r>
        <w:r>
          <w:instrText xml:space="preserve">PAGE   \* MERGEFORMAT</w:instrText>
        </w:r>
        <w:r>
          <w:fldChar w:fldCharType="separate"/>
        </w:r>
        <w:r>
          <w:rPr>
            <w:lang w:val="zh-CN"/>
          </w:rPr>
          <w:t>ii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2957155"/>
                          </w:sdtPr>
                          <w:sdtContent>
                            <w:p>
                              <w:pPr>
                                <w:pStyle w:val="20"/>
                                <w:ind w:firstLine="360"/>
                                <w:jc w:val="center"/>
                              </w:pPr>
                              <w:r>
                                <w:fldChar w:fldCharType="begin"/>
                              </w:r>
                              <w:r>
                                <w:instrText xml:space="preserve">PAGE   \* MERGEFORMAT</w:instrText>
                              </w:r>
                              <w:r>
                                <w:fldChar w:fldCharType="separate"/>
                              </w:r>
                              <w:r>
                                <w:rPr>
                                  <w:lang w:val="zh-CN"/>
                                </w:rPr>
                                <w:t>III</w:t>
                              </w:r>
                              <w:r>
                                <w:fldChar w:fldCharType="end"/>
                              </w:r>
                            </w:p>
                          </w:sdtContent>
                        </w:sdt>
                        <w:p>
                          <w:pPr>
                            <w:pStyle w:val="39"/>
                            <w:rPr>
                              <w:rFonts w:hint="default"/>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sdt>
                    <w:sdtPr>
                      <w:id w:val="-1932957155"/>
                    </w:sdtPr>
                    <w:sdtContent>
                      <w:p>
                        <w:pPr>
                          <w:pStyle w:val="20"/>
                          <w:ind w:firstLine="360"/>
                          <w:jc w:val="center"/>
                        </w:pPr>
                        <w:r>
                          <w:fldChar w:fldCharType="begin"/>
                        </w:r>
                        <w:r>
                          <w:instrText xml:space="preserve">PAGE   \* MERGEFORMAT</w:instrText>
                        </w:r>
                        <w:r>
                          <w:fldChar w:fldCharType="separate"/>
                        </w:r>
                        <w:r>
                          <w:rPr>
                            <w:lang w:val="zh-CN"/>
                          </w:rPr>
                          <w:t>III</w:t>
                        </w:r>
                        <w:r>
                          <w:fldChar w:fldCharType="end"/>
                        </w:r>
                      </w:p>
                    </w:sdtContent>
                  </w:sdt>
                  <w:p>
                    <w:pPr>
                      <w:pStyle w:val="39"/>
                      <w:rPr>
                        <w:rFonts w:hint="default"/>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399159"/>
    </w:sdtPr>
    <w:sdtContent>
      <w:p>
        <w:pPr>
          <w:pStyle w:val="20"/>
          <w:ind w:firstLine="360"/>
          <w:jc w:val="center"/>
        </w:pPr>
        <w:r>
          <w:fldChar w:fldCharType="begin"/>
        </w:r>
        <w:r>
          <w:instrText xml:space="preserve">PAGE   \* MERGEFORMAT</w:instrText>
        </w:r>
        <w:r>
          <w:fldChar w:fldCharType="separate"/>
        </w:r>
        <w:r>
          <w:rPr>
            <w:lang w:val="zh-CN"/>
          </w:rPr>
          <w:t>6</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6803706"/>
    </w:sdtPr>
    <w:sdtContent>
      <w:p>
        <w:pPr>
          <w:pStyle w:val="20"/>
          <w:ind w:firstLine="360"/>
          <w:jc w:val="center"/>
        </w:pPr>
        <w:r>
          <w:rPr>
            <w:rFonts w:eastAsia="宋体" w:cs="Times New Roman"/>
          </w:rPr>
          <w:fldChar w:fldCharType="begin"/>
        </w:r>
        <w:r>
          <w:rPr>
            <w:rFonts w:eastAsia="宋体" w:cs="Times New Roman"/>
          </w:rPr>
          <w:instrText xml:space="preserve">PAGE   \* MERGEFORMAT</w:instrText>
        </w:r>
        <w:r>
          <w:rPr>
            <w:rFonts w:eastAsia="宋体" w:cs="Times New Roman"/>
          </w:rPr>
          <w:fldChar w:fldCharType="separate"/>
        </w:r>
        <w:r>
          <w:rPr>
            <w:rFonts w:eastAsia="宋体" w:cs="Times New Roman"/>
            <w:lang w:val="zh-CN"/>
          </w:rPr>
          <w:t>30</w:t>
        </w:r>
        <w:r>
          <w:rPr>
            <w:rFonts w:eastAsia="宋体" w:cs="Times New Roma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2045197"/>
    </w:sdtPr>
    <w:sdtContent>
      <w:p>
        <w:pPr>
          <w:pStyle w:val="20"/>
          <w:ind w:firstLine="360"/>
          <w:jc w:val="center"/>
        </w:pPr>
        <w:r>
          <w:rPr>
            <w:rFonts w:cs="Times New Roman"/>
          </w:rPr>
          <w:fldChar w:fldCharType="begin"/>
        </w:r>
        <w:r>
          <w:rPr>
            <w:rFonts w:cs="Times New Roman"/>
          </w:rPr>
          <w:instrText xml:space="preserve">PAGE   \* MERGEFORMAT</w:instrText>
        </w:r>
        <w:r>
          <w:rPr>
            <w:rFonts w:cs="Times New Roman"/>
          </w:rPr>
          <w:fldChar w:fldCharType="separate"/>
        </w:r>
        <w:r>
          <w:rPr>
            <w:rFonts w:cs="Times New Roman"/>
            <w:lang w:val="zh-CN"/>
          </w:rPr>
          <w:t>55</w:t>
        </w:r>
        <w:r>
          <w:rPr>
            <w:rFonts w:cs="Times New Roman"/>
          </w:rPr>
          <w:fldChar w:fldCharType="end"/>
        </w:r>
      </w:p>
    </w:sdtContent>
  </w:sdt>
  <w:p>
    <w:pPr>
      <w:pStyle w:val="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outset" w:color="auto" w:sz="18" w:space="1"/>
      </w:pBdr>
      <w:spacing w:line="240" w:lineRule="auto"/>
      <w:ind w:firstLine="560"/>
      <w:jc w:val="right"/>
      <w:rPr>
        <w:rFonts w:eastAsia="楷体" w:cs="Times New Roman"/>
        <w:color w:val="FFFFFF" w:themeColor="background1"/>
        <w:sz w:val="28"/>
        <w:szCs w:val="44"/>
        <w:highlight w:val="darkGray"/>
        <w:shd w:val="clear" w:color="FFFFFF" w:fill="D9D9D9"/>
        <w14:textFill>
          <w14:solidFill>
            <w14:schemeClr w14:val="bg1"/>
          </w14:solidFill>
        </w14:textFill>
      </w:rPr>
    </w:pPr>
    <w:r>
      <w:rPr>
        <w:rFonts w:eastAsia="楷体" w:cs="Times New Roman"/>
        <w:color w:val="FFFFFF" w:themeColor="background1"/>
        <w:sz w:val="28"/>
        <w:szCs w:val="44"/>
        <w:highlight w:val="darkGray"/>
        <w:shd w:val="clear" w:color="FFFFFF" w:fill="D9D9D9"/>
        <w14:textFill>
          <w14:solidFill>
            <w14:schemeClr w14:val="bg1"/>
          </w14:solidFill>
        </w14:textFill>
      </w:rPr>
      <w:t>泰山区生态文明建设示范区规划（2023-2030年）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D"/>
    <w:multiLevelType w:val="singleLevel"/>
    <w:tmpl w:val="FFFFFF7D"/>
    <w:lvl w:ilvl="0" w:tentative="0">
      <w:start w:val="1"/>
      <w:numFmt w:val="decimal"/>
      <w:pStyle w:val="18"/>
      <w:lvlText w:val="%1."/>
      <w:lvlJc w:val="left"/>
      <w:pPr>
        <w:tabs>
          <w:tab w:val="left" w:pos="1620"/>
        </w:tabs>
        <w:ind w:left="1620" w:leftChars="600" w:hanging="360" w:hangingChars="200"/>
      </w:pPr>
    </w:lvl>
  </w:abstractNum>
  <w:abstractNum w:abstractNumId="1">
    <w:nsid w:val="51755D96"/>
    <w:multiLevelType w:val="multilevel"/>
    <w:tmpl w:val="51755D96"/>
    <w:lvl w:ilvl="0" w:tentative="0">
      <w:start w:val="1"/>
      <w:numFmt w:val="chineseCounting"/>
      <w:pStyle w:val="2"/>
      <w:suff w:val="space"/>
      <w:lvlText w:val="第%1章"/>
      <w:lvlJc w:val="left"/>
      <w:pPr>
        <w:tabs>
          <w:tab w:val="left" w:pos="0"/>
        </w:tabs>
        <w:ind w:left="432" w:hanging="432"/>
      </w:pPr>
      <w:rPr>
        <w:rFonts w:hint="eastAsia" w:ascii="Times New Roman" w:hAnsi="Times New Roman" w:eastAsia="黑体" w:cs="Times New Roman"/>
        <w:lang w:val="en-US"/>
      </w:rPr>
    </w:lvl>
    <w:lvl w:ilvl="1" w:tentative="0">
      <w:start w:val="1"/>
      <w:numFmt w:val="chineseCounting"/>
      <w:pStyle w:val="3"/>
      <w:suff w:val="space"/>
      <w:lvlText w:val="第%2节"/>
      <w:lvlJc w:val="left"/>
      <w:pPr>
        <w:tabs>
          <w:tab w:val="left" w:pos="0"/>
        </w:tabs>
        <w:ind w:left="57" w:firstLine="300"/>
      </w:pPr>
      <w:rPr>
        <w:rFonts w:hint="eastAsia" w:ascii="Times New Roman" w:hAnsi="Times New Roman" w:eastAsia="黑体" w:cs="Times New Roman"/>
      </w:rPr>
    </w:lvl>
    <w:lvl w:ilvl="2" w:tentative="0">
      <w:start w:val="1"/>
      <w:numFmt w:val="chineseCounting"/>
      <w:pStyle w:val="4"/>
      <w:suff w:val="space"/>
      <w:lvlText w:val="（%3）"/>
      <w:lvlJc w:val="left"/>
      <w:pPr>
        <w:tabs>
          <w:tab w:val="left" w:pos="1695"/>
        </w:tabs>
        <w:ind w:left="2175" w:hanging="49"/>
      </w:pPr>
      <w:rPr>
        <w:rFonts w:hint="eastAsia" w:ascii="Times New Roman" w:hAnsi="Times New Roman" w:eastAsia="仿宋_GB2312" w:cs="Times New Roman"/>
      </w:rPr>
    </w:lvl>
    <w:lvl w:ilvl="3" w:tentative="0">
      <w:start w:val="1"/>
      <w:numFmt w:val="decimal"/>
      <w:pStyle w:val="5"/>
      <w:isLgl/>
      <w:lvlText w:val="%1.%2.%3.%4"/>
      <w:lvlJc w:val="left"/>
      <w:pPr>
        <w:ind w:left="158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lvlText w:val="（%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6DBF04F4"/>
    <w:multiLevelType w:val="multilevel"/>
    <w:tmpl w:val="6DBF04F4"/>
    <w:lvl w:ilvl="0" w:tentative="0">
      <w:start w:val="1"/>
      <w:numFmt w:val="none"/>
      <w:pStyle w:val="104"/>
      <w:lvlText w:val="%1注："/>
      <w:lvlJc w:val="left"/>
      <w:pPr>
        <w:tabs>
          <w:tab w:val="left" w:pos="1997"/>
        </w:tabs>
        <w:ind w:left="1697" w:hanging="420"/>
      </w:pPr>
      <w:rPr>
        <w:rFonts w:hint="eastAsia" w:ascii="宋体" w:hAnsi="Times New Roman" w:eastAsia="宋体"/>
        <w:b w:val="0"/>
        <w:i w:val="0"/>
        <w:sz w:val="18"/>
      </w:rPr>
    </w:lvl>
    <w:lvl w:ilvl="1" w:tentative="0">
      <w:start w:val="1"/>
      <w:numFmt w:val="lowerLetter"/>
      <w:lvlText w:val="%2)"/>
      <w:lvlJc w:val="left"/>
      <w:pPr>
        <w:tabs>
          <w:tab w:val="left" w:pos="1697"/>
        </w:tabs>
        <w:ind w:left="1697" w:hanging="420"/>
      </w:pPr>
    </w:lvl>
    <w:lvl w:ilvl="2" w:tentative="0">
      <w:start w:val="1"/>
      <w:numFmt w:val="lowerRoman"/>
      <w:lvlText w:val="%3."/>
      <w:lvlJc w:val="right"/>
      <w:pPr>
        <w:tabs>
          <w:tab w:val="left" w:pos="2117"/>
        </w:tabs>
        <w:ind w:left="2117" w:hanging="420"/>
      </w:pPr>
    </w:lvl>
    <w:lvl w:ilvl="3" w:tentative="0">
      <w:start w:val="1"/>
      <w:numFmt w:val="decimal"/>
      <w:lvlText w:val="%4."/>
      <w:lvlJc w:val="left"/>
      <w:pPr>
        <w:tabs>
          <w:tab w:val="left" w:pos="2537"/>
        </w:tabs>
        <w:ind w:left="2537" w:hanging="420"/>
      </w:pPr>
    </w:lvl>
    <w:lvl w:ilvl="4" w:tentative="0">
      <w:start w:val="1"/>
      <w:numFmt w:val="lowerLetter"/>
      <w:lvlText w:val="%5)"/>
      <w:lvlJc w:val="left"/>
      <w:pPr>
        <w:tabs>
          <w:tab w:val="left" w:pos="2957"/>
        </w:tabs>
        <w:ind w:left="2957" w:hanging="420"/>
      </w:pPr>
    </w:lvl>
    <w:lvl w:ilvl="5" w:tentative="0">
      <w:start w:val="1"/>
      <w:numFmt w:val="lowerRoman"/>
      <w:lvlText w:val="%6."/>
      <w:lvlJc w:val="right"/>
      <w:pPr>
        <w:tabs>
          <w:tab w:val="left" w:pos="3377"/>
        </w:tabs>
        <w:ind w:left="3377" w:hanging="420"/>
      </w:pPr>
    </w:lvl>
    <w:lvl w:ilvl="6" w:tentative="0">
      <w:start w:val="1"/>
      <w:numFmt w:val="decimal"/>
      <w:lvlText w:val="%7."/>
      <w:lvlJc w:val="left"/>
      <w:pPr>
        <w:tabs>
          <w:tab w:val="left" w:pos="3797"/>
        </w:tabs>
        <w:ind w:left="3797" w:hanging="420"/>
      </w:pPr>
    </w:lvl>
    <w:lvl w:ilvl="7" w:tentative="0">
      <w:start w:val="1"/>
      <w:numFmt w:val="lowerLetter"/>
      <w:lvlText w:val="%8)"/>
      <w:lvlJc w:val="left"/>
      <w:pPr>
        <w:tabs>
          <w:tab w:val="left" w:pos="4217"/>
        </w:tabs>
        <w:ind w:left="4217" w:hanging="420"/>
      </w:pPr>
    </w:lvl>
    <w:lvl w:ilvl="8" w:tentative="0">
      <w:start w:val="1"/>
      <w:numFmt w:val="lowerRoman"/>
      <w:lvlText w:val="%9."/>
      <w:lvlJc w:val="right"/>
      <w:pPr>
        <w:tabs>
          <w:tab w:val="left" w:pos="4637"/>
        </w:tabs>
        <w:ind w:left="4637" w:hanging="420"/>
      </w:pPr>
    </w:lvl>
  </w:abstractNum>
  <w:abstractNum w:abstractNumId="3">
    <w:nsid w:val="7011ABF0"/>
    <w:multiLevelType w:val="singleLevel"/>
    <w:tmpl w:val="7011ABF0"/>
    <w:lvl w:ilvl="0" w:tentative="0">
      <w:start w:val="1"/>
      <w:numFmt w:val="decimal"/>
      <w:suff w:val="space"/>
      <w:lvlText w:val="%1."/>
      <w:lvlJc w:val="left"/>
      <w:pPr>
        <w:ind w:left="84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OGM3NDAzOGNhOGU3MmE1MzcxMmVkMzI3MWY3MzMifQ=="/>
  </w:docVars>
  <w:rsids>
    <w:rsidRoot w:val="008B7003"/>
    <w:rsid w:val="00002CBB"/>
    <w:rsid w:val="00024756"/>
    <w:rsid w:val="00030295"/>
    <w:rsid w:val="00036520"/>
    <w:rsid w:val="00044CF6"/>
    <w:rsid w:val="000A002F"/>
    <w:rsid w:val="000E110B"/>
    <w:rsid w:val="000F5859"/>
    <w:rsid w:val="000F7AD1"/>
    <w:rsid w:val="00100ED3"/>
    <w:rsid w:val="00152164"/>
    <w:rsid w:val="0016493B"/>
    <w:rsid w:val="00182470"/>
    <w:rsid w:val="001A76C4"/>
    <w:rsid w:val="001B51E5"/>
    <w:rsid w:val="0022593E"/>
    <w:rsid w:val="00230BC1"/>
    <w:rsid w:val="002326FA"/>
    <w:rsid w:val="002964AF"/>
    <w:rsid w:val="002C1BA6"/>
    <w:rsid w:val="002C4BC2"/>
    <w:rsid w:val="002C73E5"/>
    <w:rsid w:val="002E2BF0"/>
    <w:rsid w:val="002F6B58"/>
    <w:rsid w:val="0030506F"/>
    <w:rsid w:val="00324827"/>
    <w:rsid w:val="003706B2"/>
    <w:rsid w:val="00396F3F"/>
    <w:rsid w:val="003C431B"/>
    <w:rsid w:val="003E0224"/>
    <w:rsid w:val="003F55B3"/>
    <w:rsid w:val="00410600"/>
    <w:rsid w:val="00410898"/>
    <w:rsid w:val="00421E4E"/>
    <w:rsid w:val="00433EDB"/>
    <w:rsid w:val="00434AD7"/>
    <w:rsid w:val="0047406E"/>
    <w:rsid w:val="00482A80"/>
    <w:rsid w:val="004860BB"/>
    <w:rsid w:val="004A1BCD"/>
    <w:rsid w:val="004B7A9F"/>
    <w:rsid w:val="004C0215"/>
    <w:rsid w:val="004C70E1"/>
    <w:rsid w:val="004F027E"/>
    <w:rsid w:val="004F3990"/>
    <w:rsid w:val="0053237B"/>
    <w:rsid w:val="00536C24"/>
    <w:rsid w:val="005557EC"/>
    <w:rsid w:val="00562609"/>
    <w:rsid w:val="005D2EA4"/>
    <w:rsid w:val="00632743"/>
    <w:rsid w:val="00636BB3"/>
    <w:rsid w:val="0064012C"/>
    <w:rsid w:val="0064504C"/>
    <w:rsid w:val="006650D1"/>
    <w:rsid w:val="006B16D6"/>
    <w:rsid w:val="006B39B9"/>
    <w:rsid w:val="006C2A70"/>
    <w:rsid w:val="006C6F82"/>
    <w:rsid w:val="006D0F43"/>
    <w:rsid w:val="006E1E80"/>
    <w:rsid w:val="006E2E92"/>
    <w:rsid w:val="00715EA1"/>
    <w:rsid w:val="0075395A"/>
    <w:rsid w:val="00776465"/>
    <w:rsid w:val="007916D8"/>
    <w:rsid w:val="007B7470"/>
    <w:rsid w:val="007F4A07"/>
    <w:rsid w:val="0081630F"/>
    <w:rsid w:val="0082460A"/>
    <w:rsid w:val="00840E5E"/>
    <w:rsid w:val="008679E9"/>
    <w:rsid w:val="0088602D"/>
    <w:rsid w:val="008A2C5A"/>
    <w:rsid w:val="008B7003"/>
    <w:rsid w:val="008D3DAF"/>
    <w:rsid w:val="008F4937"/>
    <w:rsid w:val="008F4F4B"/>
    <w:rsid w:val="00914544"/>
    <w:rsid w:val="00931E52"/>
    <w:rsid w:val="009378BF"/>
    <w:rsid w:val="00945E50"/>
    <w:rsid w:val="0095626E"/>
    <w:rsid w:val="00956968"/>
    <w:rsid w:val="00976063"/>
    <w:rsid w:val="009B4D15"/>
    <w:rsid w:val="009B7A43"/>
    <w:rsid w:val="009C6E63"/>
    <w:rsid w:val="009E4784"/>
    <w:rsid w:val="00A263DF"/>
    <w:rsid w:val="00A32D63"/>
    <w:rsid w:val="00A34736"/>
    <w:rsid w:val="00A47939"/>
    <w:rsid w:val="00A574F9"/>
    <w:rsid w:val="00A90EC7"/>
    <w:rsid w:val="00AA32FB"/>
    <w:rsid w:val="00AA63CB"/>
    <w:rsid w:val="00AC5806"/>
    <w:rsid w:val="00AD1C29"/>
    <w:rsid w:val="00AD4508"/>
    <w:rsid w:val="00AE6BC8"/>
    <w:rsid w:val="00B042BF"/>
    <w:rsid w:val="00B05EC8"/>
    <w:rsid w:val="00B37811"/>
    <w:rsid w:val="00B53BEB"/>
    <w:rsid w:val="00B61029"/>
    <w:rsid w:val="00B70CF3"/>
    <w:rsid w:val="00BA483E"/>
    <w:rsid w:val="00BB5665"/>
    <w:rsid w:val="00BE0DC7"/>
    <w:rsid w:val="00C45237"/>
    <w:rsid w:val="00C4647F"/>
    <w:rsid w:val="00C65806"/>
    <w:rsid w:val="00C82351"/>
    <w:rsid w:val="00C860DB"/>
    <w:rsid w:val="00CD3D4E"/>
    <w:rsid w:val="00CE13D7"/>
    <w:rsid w:val="00D63B85"/>
    <w:rsid w:val="00DB271A"/>
    <w:rsid w:val="00DC1624"/>
    <w:rsid w:val="00DE2FF5"/>
    <w:rsid w:val="00DF0FD7"/>
    <w:rsid w:val="00E611EA"/>
    <w:rsid w:val="00EC273D"/>
    <w:rsid w:val="00ED003F"/>
    <w:rsid w:val="00EF231A"/>
    <w:rsid w:val="00F12F3E"/>
    <w:rsid w:val="00F41787"/>
    <w:rsid w:val="00F4274D"/>
    <w:rsid w:val="00F6637C"/>
    <w:rsid w:val="00F864F5"/>
    <w:rsid w:val="00FA046C"/>
    <w:rsid w:val="00FF2CD5"/>
    <w:rsid w:val="016B6C44"/>
    <w:rsid w:val="02CB755E"/>
    <w:rsid w:val="02EA250C"/>
    <w:rsid w:val="02FA156C"/>
    <w:rsid w:val="030204C5"/>
    <w:rsid w:val="03824AAC"/>
    <w:rsid w:val="050209E3"/>
    <w:rsid w:val="05AA2098"/>
    <w:rsid w:val="06E83923"/>
    <w:rsid w:val="07EF0236"/>
    <w:rsid w:val="08125F0F"/>
    <w:rsid w:val="08973D1E"/>
    <w:rsid w:val="08A07B8A"/>
    <w:rsid w:val="09AD07CC"/>
    <w:rsid w:val="0A227C60"/>
    <w:rsid w:val="0A86581A"/>
    <w:rsid w:val="0B0E6D50"/>
    <w:rsid w:val="0B626F71"/>
    <w:rsid w:val="0C2C7CAB"/>
    <w:rsid w:val="0C4C4F93"/>
    <w:rsid w:val="0CC266F9"/>
    <w:rsid w:val="0D256777"/>
    <w:rsid w:val="0D5511E7"/>
    <w:rsid w:val="0DBC0BBA"/>
    <w:rsid w:val="0F7B797C"/>
    <w:rsid w:val="106F3050"/>
    <w:rsid w:val="10A86BEA"/>
    <w:rsid w:val="11C20769"/>
    <w:rsid w:val="13252B1E"/>
    <w:rsid w:val="13A26AA4"/>
    <w:rsid w:val="13B65166"/>
    <w:rsid w:val="14A67E1A"/>
    <w:rsid w:val="14CE72C9"/>
    <w:rsid w:val="14D92A17"/>
    <w:rsid w:val="15672447"/>
    <w:rsid w:val="16B8447E"/>
    <w:rsid w:val="176E68CD"/>
    <w:rsid w:val="17C32972"/>
    <w:rsid w:val="18417EF7"/>
    <w:rsid w:val="185A5BA0"/>
    <w:rsid w:val="191636F9"/>
    <w:rsid w:val="19584C79"/>
    <w:rsid w:val="19BD0194"/>
    <w:rsid w:val="19F77AC0"/>
    <w:rsid w:val="1A327A57"/>
    <w:rsid w:val="1ADF7905"/>
    <w:rsid w:val="1AFB0C82"/>
    <w:rsid w:val="1AFF24AC"/>
    <w:rsid w:val="1C2706D6"/>
    <w:rsid w:val="1C276C89"/>
    <w:rsid w:val="1CA964D2"/>
    <w:rsid w:val="1E567F47"/>
    <w:rsid w:val="1EED771C"/>
    <w:rsid w:val="1FC44E3D"/>
    <w:rsid w:val="20493086"/>
    <w:rsid w:val="20983709"/>
    <w:rsid w:val="20B16579"/>
    <w:rsid w:val="217A2336"/>
    <w:rsid w:val="21A63C04"/>
    <w:rsid w:val="226C0766"/>
    <w:rsid w:val="22A55D80"/>
    <w:rsid w:val="23941B43"/>
    <w:rsid w:val="242D23BA"/>
    <w:rsid w:val="25730837"/>
    <w:rsid w:val="25A87541"/>
    <w:rsid w:val="2621262D"/>
    <w:rsid w:val="266C6E4A"/>
    <w:rsid w:val="2693247C"/>
    <w:rsid w:val="26B91CE3"/>
    <w:rsid w:val="27896E11"/>
    <w:rsid w:val="27C61638"/>
    <w:rsid w:val="28002DF3"/>
    <w:rsid w:val="298875E5"/>
    <w:rsid w:val="298E38FB"/>
    <w:rsid w:val="29AC3E9C"/>
    <w:rsid w:val="2A152FFA"/>
    <w:rsid w:val="2AEB3EFD"/>
    <w:rsid w:val="2B5F7D93"/>
    <w:rsid w:val="2BD30076"/>
    <w:rsid w:val="2C2101CE"/>
    <w:rsid w:val="2D2D342B"/>
    <w:rsid w:val="2DD25BB8"/>
    <w:rsid w:val="2DF83A39"/>
    <w:rsid w:val="2E4F2F2D"/>
    <w:rsid w:val="2F4231B5"/>
    <w:rsid w:val="2F967EFE"/>
    <w:rsid w:val="315E078B"/>
    <w:rsid w:val="33716EF1"/>
    <w:rsid w:val="33D77C4D"/>
    <w:rsid w:val="34C0691A"/>
    <w:rsid w:val="34DE3C87"/>
    <w:rsid w:val="35CB31BA"/>
    <w:rsid w:val="35DC154A"/>
    <w:rsid w:val="35FF7E11"/>
    <w:rsid w:val="36B3674F"/>
    <w:rsid w:val="36C57A5B"/>
    <w:rsid w:val="378E1D23"/>
    <w:rsid w:val="37AF33BA"/>
    <w:rsid w:val="38FA3EAB"/>
    <w:rsid w:val="39074CB7"/>
    <w:rsid w:val="3B2034D7"/>
    <w:rsid w:val="3B52394A"/>
    <w:rsid w:val="3B5A22AA"/>
    <w:rsid w:val="3B5B4297"/>
    <w:rsid w:val="3B7A49D5"/>
    <w:rsid w:val="3C4816E7"/>
    <w:rsid w:val="3C73144A"/>
    <w:rsid w:val="3EF27E55"/>
    <w:rsid w:val="41393CF5"/>
    <w:rsid w:val="42246753"/>
    <w:rsid w:val="42E6744A"/>
    <w:rsid w:val="44030948"/>
    <w:rsid w:val="4517434D"/>
    <w:rsid w:val="46601814"/>
    <w:rsid w:val="46A9191C"/>
    <w:rsid w:val="476525B1"/>
    <w:rsid w:val="48E04A06"/>
    <w:rsid w:val="4A7D21DC"/>
    <w:rsid w:val="4B207100"/>
    <w:rsid w:val="4BD62EC5"/>
    <w:rsid w:val="4C933C09"/>
    <w:rsid w:val="4F6C798B"/>
    <w:rsid w:val="500F0A42"/>
    <w:rsid w:val="50D5692A"/>
    <w:rsid w:val="51B964EB"/>
    <w:rsid w:val="52EB0BC7"/>
    <w:rsid w:val="531938E3"/>
    <w:rsid w:val="55057D15"/>
    <w:rsid w:val="56B85264"/>
    <w:rsid w:val="56C6512B"/>
    <w:rsid w:val="56CA251D"/>
    <w:rsid w:val="571C5F7A"/>
    <w:rsid w:val="57577295"/>
    <w:rsid w:val="584E2326"/>
    <w:rsid w:val="58553578"/>
    <w:rsid w:val="5915074C"/>
    <w:rsid w:val="59FF3953"/>
    <w:rsid w:val="5A2766D3"/>
    <w:rsid w:val="5B7F527E"/>
    <w:rsid w:val="5BE73AEE"/>
    <w:rsid w:val="5CEB4196"/>
    <w:rsid w:val="5DE64CEC"/>
    <w:rsid w:val="5EED2CA8"/>
    <w:rsid w:val="5F1540E6"/>
    <w:rsid w:val="620D0B5A"/>
    <w:rsid w:val="623C7D3C"/>
    <w:rsid w:val="634A294C"/>
    <w:rsid w:val="63BE02E9"/>
    <w:rsid w:val="640E7EF8"/>
    <w:rsid w:val="64721C57"/>
    <w:rsid w:val="65BC45FD"/>
    <w:rsid w:val="666A49B1"/>
    <w:rsid w:val="671010CE"/>
    <w:rsid w:val="675C3F40"/>
    <w:rsid w:val="67FD296A"/>
    <w:rsid w:val="68E36170"/>
    <w:rsid w:val="68EF049E"/>
    <w:rsid w:val="69675797"/>
    <w:rsid w:val="69D85841"/>
    <w:rsid w:val="6AC27EAE"/>
    <w:rsid w:val="6B07083C"/>
    <w:rsid w:val="6C7528AD"/>
    <w:rsid w:val="6EB606A5"/>
    <w:rsid w:val="6FF15BC1"/>
    <w:rsid w:val="70DB41FB"/>
    <w:rsid w:val="7153093F"/>
    <w:rsid w:val="73171E04"/>
    <w:rsid w:val="74061605"/>
    <w:rsid w:val="76AC2297"/>
    <w:rsid w:val="76D71886"/>
    <w:rsid w:val="77493F8A"/>
    <w:rsid w:val="783067A1"/>
    <w:rsid w:val="78A40379"/>
    <w:rsid w:val="79764DDF"/>
    <w:rsid w:val="79C43D9C"/>
    <w:rsid w:val="7A823618"/>
    <w:rsid w:val="7A8676D6"/>
    <w:rsid w:val="7B3A2FC6"/>
    <w:rsid w:val="7B8365E7"/>
    <w:rsid w:val="7B9C61A2"/>
    <w:rsid w:val="7CF01DD4"/>
    <w:rsid w:val="7E1668FC"/>
    <w:rsid w:val="7ECF2FC7"/>
    <w:rsid w:val="7FC51512"/>
    <w:rsid w:val="7FD7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qFormat="1"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仿宋_GB2312" w:cstheme="minorBidi"/>
      <w:kern w:val="2"/>
      <w:sz w:val="28"/>
      <w:szCs w:val="21"/>
      <w:lang w:val="en-US" w:eastAsia="zh-CN" w:bidi="ar-SA"/>
    </w:rPr>
  </w:style>
  <w:style w:type="paragraph" w:styleId="2">
    <w:name w:val="heading 1"/>
    <w:basedOn w:val="1"/>
    <w:next w:val="1"/>
    <w:link w:val="43"/>
    <w:qFormat/>
    <w:uiPriority w:val="0"/>
    <w:pPr>
      <w:keepNext/>
      <w:keepLines/>
      <w:numPr>
        <w:ilvl w:val="0"/>
        <w:numId w:val="1"/>
      </w:numPr>
      <w:spacing w:before="120" w:after="120" w:line="578" w:lineRule="auto"/>
      <w:ind w:firstLineChars="0"/>
      <w:outlineLvl w:val="0"/>
    </w:pPr>
    <w:rPr>
      <w:rFonts w:eastAsia="黑体" w:cs="Times New Roman"/>
      <w:b/>
      <w:bCs/>
      <w:kern w:val="44"/>
      <w:sz w:val="30"/>
      <w:szCs w:val="44"/>
    </w:rPr>
  </w:style>
  <w:style w:type="paragraph" w:styleId="3">
    <w:name w:val="heading 2"/>
    <w:basedOn w:val="1"/>
    <w:next w:val="1"/>
    <w:link w:val="44"/>
    <w:qFormat/>
    <w:uiPriority w:val="0"/>
    <w:pPr>
      <w:keepNext/>
      <w:keepLines/>
      <w:widowControl/>
      <w:numPr>
        <w:ilvl w:val="1"/>
        <w:numId w:val="1"/>
      </w:numPr>
      <w:adjustRightInd w:val="0"/>
      <w:spacing w:before="120" w:after="120"/>
      <w:ind w:firstLineChars="0"/>
      <w:jc w:val="left"/>
      <w:outlineLvl w:val="1"/>
    </w:pPr>
    <w:rPr>
      <w:rFonts w:eastAsia="黑体" w:cs="Times New Roman"/>
      <w:bCs/>
      <w:szCs w:val="28"/>
    </w:rPr>
  </w:style>
  <w:style w:type="paragraph" w:styleId="4">
    <w:name w:val="heading 3"/>
    <w:basedOn w:val="1"/>
    <w:next w:val="1"/>
    <w:link w:val="45"/>
    <w:qFormat/>
    <w:uiPriority w:val="0"/>
    <w:pPr>
      <w:keepNext/>
      <w:keepLines/>
      <w:numPr>
        <w:ilvl w:val="2"/>
        <w:numId w:val="1"/>
      </w:numPr>
      <w:adjustRightInd w:val="0"/>
      <w:snapToGrid w:val="0"/>
      <w:spacing w:before="50" w:beforeLines="50"/>
      <w:ind w:left="482" w:hanging="51" w:firstLineChars="0"/>
      <w:outlineLvl w:val="2"/>
    </w:pPr>
    <w:rPr>
      <w:rFonts w:cs="Times New Roman"/>
      <w:b/>
      <w:bCs/>
      <w:szCs w:val="32"/>
    </w:rPr>
  </w:style>
  <w:style w:type="paragraph" w:styleId="5">
    <w:name w:val="heading 4"/>
    <w:basedOn w:val="1"/>
    <w:next w:val="1"/>
    <w:link w:val="46"/>
    <w:qFormat/>
    <w:uiPriority w:val="9"/>
    <w:pPr>
      <w:numPr>
        <w:ilvl w:val="3"/>
        <w:numId w:val="1"/>
      </w:numPr>
      <w:adjustRightInd w:val="0"/>
      <w:spacing w:before="50" w:beforeLines="50" w:after="50" w:afterLines="50"/>
      <w:ind w:firstLineChars="0"/>
      <w:outlineLvl w:val="3"/>
    </w:pPr>
    <w:rPr>
      <w:rFonts w:eastAsia="宋体" w:cs="Times New Roman"/>
      <w:b/>
      <w:szCs w:val="24"/>
    </w:rPr>
  </w:style>
  <w:style w:type="paragraph" w:styleId="6">
    <w:name w:val="heading 5"/>
    <w:basedOn w:val="1"/>
    <w:next w:val="1"/>
    <w:link w:val="47"/>
    <w:unhideWhenUsed/>
    <w:qFormat/>
    <w:uiPriority w:val="9"/>
    <w:pPr>
      <w:keepNext/>
      <w:keepLines/>
      <w:numPr>
        <w:ilvl w:val="4"/>
        <w:numId w:val="1"/>
      </w:numPr>
      <w:spacing w:before="120" w:after="120"/>
      <w:ind w:firstLineChars="0"/>
      <w:outlineLvl w:val="4"/>
    </w:pPr>
    <w:rPr>
      <w:b/>
      <w:bCs/>
      <w:szCs w:val="28"/>
    </w:rPr>
  </w:style>
  <w:style w:type="paragraph" w:styleId="7">
    <w:name w:val="heading 6"/>
    <w:basedOn w:val="1"/>
    <w:next w:val="1"/>
    <w:link w:val="48"/>
    <w:unhideWhenUsed/>
    <w:qFormat/>
    <w:uiPriority w:val="9"/>
    <w:pPr>
      <w:keepNext/>
      <w:keepLines/>
      <w:numPr>
        <w:ilvl w:val="5"/>
        <w:numId w:val="1"/>
      </w:numPr>
      <w:spacing w:before="50" w:beforeLines="50" w:after="120"/>
      <w:ind w:firstLineChars="0"/>
      <w:outlineLvl w:val="5"/>
    </w:pPr>
    <w:rPr>
      <w:rFonts w:asciiTheme="majorHAnsi" w:hAnsiTheme="majorHAnsi" w:eastAsiaTheme="majorEastAsia" w:cstheme="majorBidi"/>
      <w:b/>
      <w:bCs/>
      <w:szCs w:val="24"/>
    </w:rPr>
  </w:style>
  <w:style w:type="paragraph" w:styleId="8">
    <w:name w:val="heading 7"/>
    <w:basedOn w:val="1"/>
    <w:next w:val="1"/>
    <w:link w:val="49"/>
    <w:unhideWhenUsed/>
    <w:qFormat/>
    <w:uiPriority w:val="9"/>
    <w:pPr>
      <w:keepNext/>
      <w:keepLines/>
      <w:numPr>
        <w:ilvl w:val="6"/>
        <w:numId w:val="1"/>
      </w:numPr>
      <w:spacing w:after="64" w:line="320" w:lineRule="auto"/>
      <w:ind w:firstLineChars="0"/>
      <w:outlineLvl w:val="6"/>
    </w:pPr>
    <w:rPr>
      <w:b/>
      <w:bCs/>
      <w:szCs w:val="24"/>
    </w:rPr>
  </w:style>
  <w:style w:type="paragraph" w:styleId="9">
    <w:name w:val="heading 8"/>
    <w:basedOn w:val="1"/>
    <w:next w:val="1"/>
    <w:link w:val="50"/>
    <w:unhideWhenUsed/>
    <w:qFormat/>
    <w:uiPriority w:val="9"/>
    <w:pPr>
      <w:keepNext/>
      <w:keepLines/>
      <w:numPr>
        <w:ilvl w:val="7"/>
        <w:numId w:val="1"/>
      </w:numPr>
      <w:spacing w:after="64" w:line="320" w:lineRule="auto"/>
      <w:ind w:firstLineChars="0"/>
      <w:outlineLvl w:val="7"/>
    </w:pPr>
    <w:rPr>
      <w:rFonts w:asciiTheme="majorHAnsi" w:hAnsiTheme="majorHAnsi" w:eastAsiaTheme="majorEastAsia" w:cstheme="majorBidi"/>
      <w:szCs w:val="24"/>
    </w:rPr>
  </w:style>
  <w:style w:type="paragraph" w:styleId="10">
    <w:name w:val="heading 9"/>
    <w:basedOn w:val="1"/>
    <w:next w:val="1"/>
    <w:link w:val="51"/>
    <w:unhideWhenUsed/>
    <w:qFormat/>
    <w:uiPriority w:val="9"/>
    <w:pPr>
      <w:keepNext/>
      <w:keepLines/>
      <w:numPr>
        <w:ilvl w:val="8"/>
        <w:numId w:val="1"/>
      </w:numPr>
      <w:spacing w:after="64" w:line="320" w:lineRule="auto"/>
      <w:ind w:firstLineChars="0"/>
      <w:outlineLvl w:val="8"/>
    </w:pPr>
    <w:rPr>
      <w:rFonts w:asciiTheme="majorHAnsi" w:hAnsiTheme="majorHAnsi" w:eastAsiaTheme="majorEastAsia" w:cstheme="majorBidi"/>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line="240" w:lineRule="auto"/>
      <w:ind w:firstLine="420" w:firstLineChars="0"/>
    </w:pPr>
    <w:rPr>
      <w:sz w:val="21"/>
      <w:szCs w:val="24"/>
    </w:rPr>
  </w:style>
  <w:style w:type="paragraph" w:styleId="12">
    <w:name w:val="caption"/>
    <w:basedOn w:val="1"/>
    <w:next w:val="1"/>
    <w:link w:val="89"/>
    <w:qFormat/>
    <w:uiPriority w:val="35"/>
    <w:pPr>
      <w:ind w:firstLine="200"/>
    </w:pPr>
    <w:rPr>
      <w:rFonts w:ascii="Cambria" w:hAnsi="Cambria" w:eastAsia="黑体" w:cs="宋体"/>
      <w:sz w:val="20"/>
      <w:szCs w:val="20"/>
    </w:rPr>
  </w:style>
  <w:style w:type="paragraph" w:styleId="13">
    <w:name w:val="Document Map"/>
    <w:basedOn w:val="1"/>
    <w:link w:val="57"/>
    <w:semiHidden/>
    <w:unhideWhenUsed/>
    <w:qFormat/>
    <w:uiPriority w:val="99"/>
    <w:pPr>
      <w:ind w:firstLine="0" w:firstLineChars="0"/>
    </w:pPr>
    <w:rPr>
      <w:rFonts w:ascii="宋体" w:hAnsi="Calibri" w:cs="宋体"/>
      <w:sz w:val="18"/>
      <w:szCs w:val="18"/>
    </w:rPr>
  </w:style>
  <w:style w:type="paragraph" w:styleId="14">
    <w:name w:val="annotation text"/>
    <w:basedOn w:val="1"/>
    <w:link w:val="58"/>
    <w:qFormat/>
    <w:uiPriority w:val="99"/>
    <w:pPr>
      <w:ind w:firstLine="0" w:firstLineChars="0"/>
      <w:jc w:val="left"/>
    </w:pPr>
    <w:rPr>
      <w:rFonts w:ascii="Calibri" w:hAnsi="Calibri" w:cs="宋体"/>
      <w:sz w:val="32"/>
      <w:szCs w:val="22"/>
    </w:rPr>
  </w:style>
  <w:style w:type="paragraph" w:styleId="15">
    <w:name w:val="Body Text"/>
    <w:basedOn w:val="1"/>
    <w:next w:val="16"/>
    <w:link w:val="96"/>
    <w:semiHidden/>
    <w:unhideWhenUsed/>
    <w:qFormat/>
    <w:uiPriority w:val="99"/>
    <w:pPr>
      <w:spacing w:after="120"/>
      <w:ind w:firstLine="0" w:firstLineChars="0"/>
    </w:pPr>
    <w:rPr>
      <w:rFonts w:ascii="Calibri" w:hAnsi="Calibri" w:cs="宋体"/>
      <w:sz w:val="32"/>
      <w:szCs w:val="22"/>
    </w:rPr>
  </w:style>
  <w:style w:type="paragraph" w:styleId="16">
    <w:name w:val="Body Text Indent"/>
    <w:basedOn w:val="1"/>
    <w:next w:val="1"/>
    <w:link w:val="59"/>
    <w:qFormat/>
    <w:uiPriority w:val="0"/>
    <w:pPr>
      <w:spacing w:after="120"/>
      <w:ind w:left="420" w:leftChars="200" w:firstLine="0" w:firstLineChars="0"/>
    </w:pPr>
    <w:rPr>
      <w:rFonts w:ascii="Calibri" w:hAnsi="Calibri" w:cs="宋体"/>
      <w:sz w:val="32"/>
      <w:szCs w:val="24"/>
    </w:rPr>
  </w:style>
  <w:style w:type="paragraph" w:styleId="17">
    <w:name w:val="List Continue"/>
    <w:basedOn w:val="1"/>
    <w:semiHidden/>
    <w:unhideWhenUsed/>
    <w:qFormat/>
    <w:uiPriority w:val="99"/>
    <w:pPr>
      <w:spacing w:after="120"/>
      <w:ind w:left="420" w:leftChars="200"/>
      <w:contextualSpacing/>
    </w:pPr>
  </w:style>
  <w:style w:type="paragraph" w:styleId="18">
    <w:name w:val="List Number 4"/>
    <w:basedOn w:val="1"/>
    <w:semiHidden/>
    <w:unhideWhenUsed/>
    <w:qFormat/>
    <w:uiPriority w:val="99"/>
    <w:pPr>
      <w:numPr>
        <w:ilvl w:val="0"/>
        <w:numId w:val="2"/>
      </w:numPr>
      <w:adjustRightInd w:val="0"/>
      <w:snapToGrid w:val="0"/>
      <w:contextualSpacing/>
    </w:pPr>
    <w:rPr>
      <w:rFonts w:cs="Times New Roman"/>
    </w:rPr>
  </w:style>
  <w:style w:type="paragraph" w:styleId="19">
    <w:name w:val="Balloon Text"/>
    <w:basedOn w:val="1"/>
    <w:link w:val="60"/>
    <w:qFormat/>
    <w:uiPriority w:val="99"/>
    <w:pPr>
      <w:ind w:firstLine="0" w:firstLineChars="0"/>
    </w:pPr>
    <w:rPr>
      <w:rFonts w:ascii="Calibri" w:hAnsi="Calibri" w:cs="宋体"/>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envelope return"/>
    <w:basedOn w:val="1"/>
    <w:qFormat/>
    <w:uiPriority w:val="0"/>
    <w:pPr>
      <w:snapToGrid w:val="0"/>
    </w:pPr>
    <w:rPr>
      <w:rFonts w:ascii="Arial" w:hAnsi="Arial" w:eastAsia="楷体_GB2312" w:cs="Times New Roman"/>
      <w:sz w:val="26"/>
    </w:rPr>
  </w:style>
  <w:style w:type="paragraph" w:styleId="22">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style>
  <w:style w:type="paragraph" w:styleId="24">
    <w:name w:val="footnote text"/>
    <w:basedOn w:val="1"/>
    <w:link w:val="97"/>
    <w:semiHidden/>
    <w:unhideWhenUsed/>
    <w:qFormat/>
    <w:uiPriority w:val="99"/>
    <w:pPr>
      <w:snapToGrid w:val="0"/>
      <w:ind w:firstLine="0" w:firstLineChars="0"/>
      <w:jc w:val="left"/>
    </w:pPr>
    <w:rPr>
      <w:rFonts w:ascii="Calibri" w:hAnsi="Calibri" w:cs="宋体"/>
      <w:sz w:val="18"/>
      <w:szCs w:val="18"/>
    </w:rPr>
  </w:style>
  <w:style w:type="paragraph" w:styleId="25">
    <w:name w:val="toc 2"/>
    <w:basedOn w:val="1"/>
    <w:next w:val="1"/>
    <w:qFormat/>
    <w:uiPriority w:val="39"/>
    <w:pPr>
      <w:spacing w:line="324" w:lineRule="auto"/>
      <w:ind w:left="200" w:leftChars="200" w:firstLine="200"/>
    </w:pPr>
    <w:rPr>
      <w:rFonts w:eastAsia="宋体" w:cs="Times New Roman"/>
      <w:szCs w:val="24"/>
    </w:rPr>
  </w:style>
  <w:style w:type="paragraph" w:styleId="26">
    <w:name w:val="Normal (Web)"/>
    <w:basedOn w:val="1"/>
    <w:qFormat/>
    <w:uiPriority w:val="99"/>
    <w:pPr>
      <w:widowControl/>
      <w:spacing w:before="100" w:beforeAutospacing="1" w:after="100" w:afterAutospacing="1"/>
      <w:ind w:firstLine="0" w:firstLineChars="0"/>
      <w:jc w:val="left"/>
    </w:pPr>
    <w:rPr>
      <w:rFonts w:ascii="宋体" w:hAnsi="宋体" w:cs="宋体"/>
      <w:kern w:val="0"/>
      <w:szCs w:val="24"/>
    </w:rPr>
  </w:style>
  <w:style w:type="paragraph" w:styleId="27">
    <w:name w:val="annotation subject"/>
    <w:basedOn w:val="14"/>
    <w:next w:val="14"/>
    <w:link w:val="61"/>
    <w:qFormat/>
    <w:uiPriority w:val="99"/>
    <w:rPr>
      <w:b/>
      <w:bCs/>
    </w:rPr>
  </w:style>
  <w:style w:type="paragraph" w:styleId="28">
    <w:name w:val="Body Text First Indent"/>
    <w:basedOn w:val="15"/>
    <w:qFormat/>
    <w:uiPriority w:val="0"/>
    <w:pPr>
      <w:widowControl/>
      <w:tabs>
        <w:tab w:val="left" w:pos="567"/>
      </w:tabs>
      <w:spacing w:line="400" w:lineRule="atLeast"/>
      <w:ind w:firstLine="200"/>
      <w:jc w:val="left"/>
    </w:pPr>
    <w:rPr>
      <w:rFonts w:ascii="Times New Roman" w:hAnsi="Times New Roman" w:eastAsia="宋体"/>
      <w:kern w:val="0"/>
      <w:szCs w:val="24"/>
    </w:rPr>
  </w:style>
  <w:style w:type="paragraph" w:styleId="29">
    <w:name w:val="Body Text First Indent 2"/>
    <w:basedOn w:val="16"/>
    <w:next w:val="1"/>
    <w:unhideWhenUsed/>
    <w:qFormat/>
    <w:uiPriority w:val="0"/>
    <w:pPr>
      <w:ind w:left="200"/>
    </w:p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22"/>
    <w:rPr>
      <w:b/>
      <w:bCs/>
    </w:rPr>
  </w:style>
  <w:style w:type="character" w:styleId="34">
    <w:name w:val="page number"/>
    <w:basedOn w:val="32"/>
    <w:qFormat/>
    <w:uiPriority w:val="0"/>
  </w:style>
  <w:style w:type="character" w:styleId="35">
    <w:name w:val="Emphasis"/>
    <w:basedOn w:val="32"/>
    <w:qFormat/>
    <w:uiPriority w:val="20"/>
    <w:rPr>
      <w:i/>
      <w:iCs/>
    </w:rPr>
  </w:style>
  <w:style w:type="character" w:styleId="36">
    <w:name w:val="Hyperlink"/>
    <w:basedOn w:val="32"/>
    <w:qFormat/>
    <w:uiPriority w:val="99"/>
    <w:rPr>
      <w:color w:val="0000FF"/>
      <w:u w:val="single"/>
    </w:rPr>
  </w:style>
  <w:style w:type="character" w:styleId="37">
    <w:name w:val="annotation reference"/>
    <w:basedOn w:val="32"/>
    <w:qFormat/>
    <w:uiPriority w:val="99"/>
    <w:rPr>
      <w:sz w:val="21"/>
      <w:szCs w:val="21"/>
    </w:rPr>
  </w:style>
  <w:style w:type="character" w:styleId="38">
    <w:name w:val="footnote reference"/>
    <w:basedOn w:val="32"/>
    <w:unhideWhenUsed/>
    <w:qFormat/>
    <w:uiPriority w:val="99"/>
    <w:rPr>
      <w:vertAlign w:val="superscript"/>
    </w:rPr>
  </w:style>
  <w:style w:type="paragraph" w:customStyle="1" w:styleId="39">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40">
    <w:name w:val="Heading3"/>
    <w:basedOn w:val="1"/>
    <w:next w:val="1"/>
    <w:qFormat/>
    <w:uiPriority w:val="0"/>
    <w:pPr>
      <w:spacing w:before="200" w:line="271" w:lineRule="auto"/>
    </w:pPr>
    <w:rPr>
      <w:rFonts w:ascii="Cambria" w:hAnsi="Cambria" w:cs="Cambria"/>
      <w:b/>
      <w:bCs/>
      <w:sz w:val="21"/>
      <w:szCs w:val="24"/>
    </w:rPr>
  </w:style>
  <w:style w:type="character" w:customStyle="1" w:styleId="41">
    <w:name w:val="页眉 Char"/>
    <w:basedOn w:val="32"/>
    <w:link w:val="22"/>
    <w:qFormat/>
    <w:uiPriority w:val="99"/>
    <w:rPr>
      <w:sz w:val="18"/>
      <w:szCs w:val="18"/>
    </w:rPr>
  </w:style>
  <w:style w:type="character" w:customStyle="1" w:styleId="42">
    <w:name w:val="页脚 Char"/>
    <w:basedOn w:val="32"/>
    <w:link w:val="20"/>
    <w:qFormat/>
    <w:uiPriority w:val="99"/>
    <w:rPr>
      <w:sz w:val="18"/>
      <w:szCs w:val="18"/>
    </w:rPr>
  </w:style>
  <w:style w:type="character" w:customStyle="1" w:styleId="43">
    <w:name w:val="标题 1 Char"/>
    <w:basedOn w:val="32"/>
    <w:link w:val="2"/>
    <w:qFormat/>
    <w:uiPriority w:val="0"/>
    <w:rPr>
      <w:rFonts w:ascii="Times New Roman" w:hAnsi="Times New Roman" w:eastAsia="黑体" w:cs="Times New Roman"/>
      <w:b/>
      <w:bCs/>
      <w:kern w:val="44"/>
      <w:sz w:val="30"/>
      <w:szCs w:val="44"/>
    </w:rPr>
  </w:style>
  <w:style w:type="character" w:customStyle="1" w:styleId="44">
    <w:name w:val="标题 2 Char"/>
    <w:basedOn w:val="32"/>
    <w:link w:val="3"/>
    <w:qFormat/>
    <w:uiPriority w:val="0"/>
    <w:rPr>
      <w:rFonts w:ascii="Times New Roman" w:hAnsi="Times New Roman" w:eastAsia="黑体" w:cs="Times New Roman"/>
      <w:bCs/>
      <w:sz w:val="28"/>
      <w:szCs w:val="28"/>
    </w:rPr>
  </w:style>
  <w:style w:type="character" w:customStyle="1" w:styleId="45">
    <w:name w:val="标题 3 Char"/>
    <w:basedOn w:val="32"/>
    <w:link w:val="4"/>
    <w:qFormat/>
    <w:uiPriority w:val="0"/>
    <w:rPr>
      <w:rFonts w:ascii="Times New Roman" w:hAnsi="Times New Roman" w:eastAsia="仿宋_GB2312" w:cs="Times New Roman"/>
      <w:b/>
      <w:bCs/>
      <w:sz w:val="24"/>
      <w:szCs w:val="32"/>
    </w:rPr>
  </w:style>
  <w:style w:type="character" w:customStyle="1" w:styleId="46">
    <w:name w:val="标题 4 Char"/>
    <w:basedOn w:val="32"/>
    <w:link w:val="5"/>
    <w:qFormat/>
    <w:uiPriority w:val="9"/>
    <w:rPr>
      <w:rFonts w:ascii="Times New Roman" w:hAnsi="Times New Roman" w:eastAsia="宋体" w:cs="Times New Roman"/>
      <w:b/>
      <w:sz w:val="24"/>
      <w:szCs w:val="24"/>
    </w:rPr>
  </w:style>
  <w:style w:type="character" w:customStyle="1" w:styleId="47">
    <w:name w:val="标题 5 Char"/>
    <w:basedOn w:val="32"/>
    <w:link w:val="6"/>
    <w:qFormat/>
    <w:uiPriority w:val="9"/>
    <w:rPr>
      <w:b/>
      <w:bCs/>
      <w:sz w:val="24"/>
      <w:szCs w:val="28"/>
    </w:rPr>
  </w:style>
  <w:style w:type="character" w:customStyle="1" w:styleId="48">
    <w:name w:val="标题 6 Char"/>
    <w:basedOn w:val="32"/>
    <w:link w:val="7"/>
    <w:qFormat/>
    <w:uiPriority w:val="9"/>
    <w:rPr>
      <w:rFonts w:asciiTheme="majorHAnsi" w:hAnsiTheme="majorHAnsi" w:eastAsiaTheme="majorEastAsia" w:cstheme="majorBidi"/>
      <w:b/>
      <w:bCs/>
      <w:sz w:val="24"/>
      <w:szCs w:val="24"/>
    </w:rPr>
  </w:style>
  <w:style w:type="character" w:customStyle="1" w:styleId="49">
    <w:name w:val="标题 7 Char"/>
    <w:basedOn w:val="32"/>
    <w:link w:val="8"/>
    <w:qFormat/>
    <w:uiPriority w:val="9"/>
    <w:rPr>
      <w:b/>
      <w:bCs/>
      <w:sz w:val="24"/>
      <w:szCs w:val="24"/>
    </w:rPr>
  </w:style>
  <w:style w:type="character" w:customStyle="1" w:styleId="50">
    <w:name w:val="标题 8 Char"/>
    <w:basedOn w:val="32"/>
    <w:link w:val="9"/>
    <w:qFormat/>
    <w:uiPriority w:val="9"/>
    <w:rPr>
      <w:rFonts w:asciiTheme="majorHAnsi" w:hAnsiTheme="majorHAnsi" w:eastAsiaTheme="majorEastAsia" w:cstheme="majorBidi"/>
      <w:sz w:val="24"/>
      <w:szCs w:val="24"/>
    </w:rPr>
  </w:style>
  <w:style w:type="character" w:customStyle="1" w:styleId="51">
    <w:name w:val="标题 9 Char"/>
    <w:basedOn w:val="32"/>
    <w:link w:val="10"/>
    <w:qFormat/>
    <w:uiPriority w:val="9"/>
    <w:rPr>
      <w:rFonts w:asciiTheme="majorHAnsi" w:hAnsiTheme="majorHAnsi" w:eastAsiaTheme="majorEastAsia" w:cstheme="majorBidi"/>
      <w:sz w:val="24"/>
      <w:szCs w:val="21"/>
    </w:rPr>
  </w:style>
  <w:style w:type="paragraph" w:customStyle="1" w:styleId="52">
    <w:name w:val="新正文"/>
    <w:basedOn w:val="1"/>
    <w:link w:val="53"/>
    <w:qFormat/>
    <w:uiPriority w:val="0"/>
    <w:pPr>
      <w:widowControl/>
      <w:adjustRightInd w:val="0"/>
      <w:spacing w:beforeLines="50" w:afterLines="50"/>
      <w:ind w:firstLine="560"/>
      <w:jc w:val="left"/>
    </w:pPr>
    <w:rPr>
      <w:rFonts w:eastAsia="宋体" w:cs="Times New Roman"/>
      <w:color w:val="000000"/>
      <w:kern w:val="0"/>
      <w:szCs w:val="28"/>
    </w:rPr>
  </w:style>
  <w:style w:type="character" w:customStyle="1" w:styleId="53">
    <w:name w:val="新正文 Char"/>
    <w:link w:val="52"/>
    <w:qFormat/>
    <w:uiPriority w:val="0"/>
    <w:rPr>
      <w:rFonts w:ascii="Times New Roman" w:hAnsi="Times New Roman" w:eastAsia="宋体" w:cs="Times New Roman"/>
      <w:color w:val="000000"/>
      <w:kern w:val="0"/>
      <w:sz w:val="24"/>
      <w:szCs w:val="28"/>
    </w:rPr>
  </w:style>
  <w:style w:type="table" w:customStyle="1" w:styleId="54">
    <w:name w:val="网格型1"/>
    <w:basedOn w:val="30"/>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font11"/>
    <w:qFormat/>
    <w:uiPriority w:val="0"/>
    <w:rPr>
      <w:rFonts w:ascii="Calibri" w:hAnsi="Calibri" w:cs="Calibri"/>
      <w:color w:val="000000"/>
      <w:sz w:val="21"/>
      <w:szCs w:val="21"/>
      <w:u w:val="none"/>
    </w:rPr>
  </w:style>
  <w:style w:type="paragraph" w:customStyle="1" w:styleId="56">
    <w:name w:val="列出段落1"/>
    <w:basedOn w:val="1"/>
    <w:qFormat/>
    <w:uiPriority w:val="0"/>
    <w:pPr>
      <w:spacing w:line="240" w:lineRule="auto"/>
      <w:ind w:firstLine="420"/>
    </w:pPr>
    <w:rPr>
      <w:rFonts w:hint="eastAsia" w:ascii="Calibri" w:hAnsi="Calibri" w:eastAsia="宋体" w:cs="Times New Roman"/>
      <w:sz w:val="21"/>
      <w:szCs w:val="22"/>
    </w:rPr>
  </w:style>
  <w:style w:type="character" w:customStyle="1" w:styleId="57">
    <w:name w:val="文档结构图 Char"/>
    <w:basedOn w:val="32"/>
    <w:link w:val="13"/>
    <w:semiHidden/>
    <w:qFormat/>
    <w:uiPriority w:val="99"/>
    <w:rPr>
      <w:rFonts w:ascii="宋体" w:hAnsi="Calibri" w:eastAsia="仿宋_GB2312" w:cs="宋体"/>
      <w:sz w:val="18"/>
      <w:szCs w:val="18"/>
    </w:rPr>
  </w:style>
  <w:style w:type="character" w:customStyle="1" w:styleId="58">
    <w:name w:val="批注文字 Char"/>
    <w:basedOn w:val="32"/>
    <w:link w:val="14"/>
    <w:qFormat/>
    <w:uiPriority w:val="99"/>
    <w:rPr>
      <w:rFonts w:ascii="Calibri" w:hAnsi="Calibri" w:eastAsia="仿宋_GB2312" w:cs="宋体"/>
      <w:sz w:val="32"/>
    </w:rPr>
  </w:style>
  <w:style w:type="character" w:customStyle="1" w:styleId="59">
    <w:name w:val="正文文本缩进 Char"/>
    <w:basedOn w:val="32"/>
    <w:link w:val="16"/>
    <w:qFormat/>
    <w:uiPriority w:val="0"/>
    <w:rPr>
      <w:rFonts w:ascii="Calibri" w:hAnsi="Calibri" w:eastAsia="仿宋_GB2312" w:cs="宋体"/>
      <w:sz w:val="32"/>
      <w:szCs w:val="24"/>
    </w:rPr>
  </w:style>
  <w:style w:type="character" w:customStyle="1" w:styleId="60">
    <w:name w:val="批注框文本 Char"/>
    <w:basedOn w:val="32"/>
    <w:link w:val="19"/>
    <w:qFormat/>
    <w:uiPriority w:val="99"/>
    <w:rPr>
      <w:rFonts w:ascii="Calibri" w:hAnsi="Calibri" w:eastAsia="仿宋_GB2312" w:cs="宋体"/>
      <w:sz w:val="18"/>
      <w:szCs w:val="18"/>
    </w:rPr>
  </w:style>
  <w:style w:type="character" w:customStyle="1" w:styleId="61">
    <w:name w:val="批注主题 Char"/>
    <w:basedOn w:val="58"/>
    <w:link w:val="27"/>
    <w:qFormat/>
    <w:uiPriority w:val="99"/>
    <w:rPr>
      <w:rFonts w:ascii="Calibri" w:hAnsi="Calibri" w:eastAsia="仿宋_GB2312" w:cs="宋体"/>
      <w:b/>
      <w:bCs/>
      <w:sz w:val="32"/>
    </w:rPr>
  </w:style>
  <w:style w:type="paragraph" w:styleId="62">
    <w:name w:val="List Paragraph"/>
    <w:basedOn w:val="1"/>
    <w:qFormat/>
    <w:uiPriority w:val="34"/>
    <w:pPr>
      <w:ind w:firstLine="420"/>
    </w:pPr>
    <w:rPr>
      <w:rFonts w:ascii="Calibri" w:hAnsi="Calibri" w:cs="宋体"/>
      <w:sz w:val="32"/>
      <w:szCs w:val="22"/>
    </w:rPr>
  </w:style>
  <w:style w:type="paragraph" w:customStyle="1" w:styleId="63">
    <w:name w:val="&quot;Default&quot;"/>
    <w:qFormat/>
    <w:uiPriority w:val="0"/>
    <w:pPr>
      <w:widowControl w:val="0"/>
      <w:autoSpaceDE w:val="0"/>
      <w:autoSpaceDN w:val="0"/>
      <w:adjustRightInd w:val="0"/>
    </w:pPr>
    <w:rPr>
      <w:rFonts w:ascii="仿宋_GB2312" w:hAnsi="Calibri" w:eastAsia="仿宋_GB2312" w:cs="仿宋_GB2312"/>
      <w:color w:val="000000"/>
      <w:kern w:val="2"/>
      <w:sz w:val="24"/>
      <w:szCs w:val="24"/>
      <w:lang w:val="en-US" w:eastAsia="zh-CN" w:bidi="ar-SA"/>
    </w:rPr>
  </w:style>
  <w:style w:type="paragraph" w:customStyle="1" w:styleId="64">
    <w:name w:val="&quot;Default&quot;1"/>
    <w:qFormat/>
    <w:uiPriority w:val="0"/>
    <w:pPr>
      <w:widowControl w:val="0"/>
      <w:autoSpaceDE w:val="0"/>
      <w:autoSpaceDN w:val="0"/>
      <w:adjustRightInd w:val="0"/>
    </w:pPr>
    <w:rPr>
      <w:rFonts w:ascii="仿宋_GB2312" w:hAnsi="Calibri" w:eastAsia="仿宋_GB2312" w:cs="仿宋_GB2312"/>
      <w:color w:val="000000"/>
      <w:kern w:val="2"/>
      <w:sz w:val="24"/>
      <w:szCs w:val="24"/>
      <w:lang w:val="en-US" w:eastAsia="zh-CN" w:bidi="ar-SA"/>
    </w:rPr>
  </w:style>
  <w:style w:type="paragraph" w:customStyle="1" w:styleId="65">
    <w:name w:val="修订1"/>
    <w:qFormat/>
    <w:uiPriority w:val="99"/>
    <w:rPr>
      <w:rFonts w:ascii="Calibri" w:hAnsi="Calibri" w:eastAsia="宋体" w:cs="宋体"/>
      <w:kern w:val="2"/>
      <w:sz w:val="21"/>
      <w:szCs w:val="22"/>
      <w:lang w:val="en-US" w:eastAsia="zh-CN" w:bidi="ar-SA"/>
    </w:rPr>
  </w:style>
  <w:style w:type="paragraph" w:customStyle="1" w:styleId="66">
    <w:name w:val="&quot;TOC 标题1&quot;"/>
    <w:basedOn w:val="2"/>
    <w:qFormat/>
    <w:uiPriority w:val="0"/>
    <w:pPr>
      <w:widowControl/>
      <w:spacing w:before="240" w:after="0" w:line="259" w:lineRule="auto"/>
      <w:ind w:left="0" w:firstLine="200"/>
      <w:jc w:val="left"/>
      <w:outlineLvl w:val="9"/>
    </w:pPr>
    <w:rPr>
      <w:rFonts w:ascii="Cambria" w:hAnsi="Cambria" w:eastAsia="仿宋_GB2312" w:cs="宋体"/>
      <w:b w:val="0"/>
      <w:bCs w:val="0"/>
      <w:color w:val="365F91"/>
      <w:kern w:val="0"/>
      <w:sz w:val="32"/>
      <w:szCs w:val="32"/>
    </w:rPr>
  </w:style>
  <w:style w:type="paragraph" w:customStyle="1" w:styleId="67">
    <w:name w:val="修订2"/>
    <w:hidden/>
    <w:semiHidden/>
    <w:qFormat/>
    <w:uiPriority w:val="99"/>
    <w:rPr>
      <w:rFonts w:ascii="Calibri" w:hAnsi="Calibri" w:eastAsia="宋体" w:cs="宋体"/>
      <w:kern w:val="2"/>
      <w:sz w:val="21"/>
      <w:szCs w:val="22"/>
      <w:lang w:val="en-US" w:eastAsia="zh-CN" w:bidi="ar-SA"/>
    </w:rPr>
  </w:style>
  <w:style w:type="paragraph" w:customStyle="1" w:styleId="68">
    <w:name w:val="修订3"/>
    <w:hidden/>
    <w:semiHidden/>
    <w:qFormat/>
    <w:uiPriority w:val="99"/>
    <w:rPr>
      <w:rFonts w:ascii="Calibri" w:hAnsi="Calibri" w:eastAsia="仿宋_GB2312" w:cs="宋体"/>
      <w:kern w:val="2"/>
      <w:sz w:val="32"/>
      <w:szCs w:val="22"/>
      <w:lang w:val="en-US" w:eastAsia="zh-CN" w:bidi="ar-SA"/>
    </w:rPr>
  </w:style>
  <w:style w:type="paragraph" w:customStyle="1" w:styleId="69">
    <w:name w:val="嘉兴标题 51"/>
    <w:basedOn w:val="1"/>
    <w:next w:val="1"/>
    <w:unhideWhenUsed/>
    <w:qFormat/>
    <w:uiPriority w:val="9"/>
    <w:pPr>
      <w:keepNext/>
      <w:keepLines/>
      <w:spacing w:before="120" w:after="120"/>
      <w:ind w:left="397" w:firstLine="0" w:firstLineChars="0"/>
      <w:outlineLvl w:val="4"/>
    </w:pPr>
    <w:rPr>
      <w:rFonts w:eastAsia="宋体" w:cs="Times New Roman"/>
      <w:b/>
      <w:bCs/>
      <w:szCs w:val="28"/>
    </w:rPr>
  </w:style>
  <w:style w:type="paragraph" w:customStyle="1" w:styleId="70">
    <w:name w:val="嘉兴标题61"/>
    <w:basedOn w:val="1"/>
    <w:next w:val="1"/>
    <w:unhideWhenUsed/>
    <w:qFormat/>
    <w:uiPriority w:val="9"/>
    <w:pPr>
      <w:keepNext/>
      <w:keepLines/>
      <w:spacing w:before="50" w:beforeLines="50" w:after="120"/>
      <w:ind w:left="397" w:firstLine="0" w:firstLineChars="0"/>
      <w:outlineLvl w:val="5"/>
    </w:pPr>
    <w:rPr>
      <w:rFonts w:ascii="Cambria" w:hAnsi="Cambria" w:eastAsia="宋体" w:cs="Times New Roman"/>
      <w:b/>
      <w:bCs/>
      <w:szCs w:val="24"/>
    </w:rPr>
  </w:style>
  <w:style w:type="paragraph" w:customStyle="1" w:styleId="71">
    <w:name w:val="H711"/>
    <w:basedOn w:val="1"/>
    <w:next w:val="1"/>
    <w:unhideWhenUsed/>
    <w:qFormat/>
    <w:uiPriority w:val="9"/>
    <w:pPr>
      <w:keepNext/>
      <w:keepLines/>
      <w:spacing w:after="64" w:line="320" w:lineRule="auto"/>
      <w:ind w:left="397" w:firstLine="0" w:firstLineChars="0"/>
      <w:outlineLvl w:val="6"/>
    </w:pPr>
    <w:rPr>
      <w:rFonts w:eastAsia="宋体" w:cs="Times New Roman"/>
      <w:b/>
      <w:bCs/>
      <w:szCs w:val="24"/>
    </w:rPr>
  </w:style>
  <w:style w:type="paragraph" w:customStyle="1" w:styleId="72">
    <w:name w:val="表格内容21"/>
    <w:basedOn w:val="1"/>
    <w:next w:val="1"/>
    <w:unhideWhenUsed/>
    <w:qFormat/>
    <w:uiPriority w:val="9"/>
    <w:pPr>
      <w:keepNext/>
      <w:keepLines/>
      <w:spacing w:after="64" w:line="320" w:lineRule="auto"/>
      <w:ind w:left="397" w:firstLine="0" w:firstLineChars="0"/>
      <w:outlineLvl w:val="7"/>
    </w:pPr>
    <w:rPr>
      <w:rFonts w:ascii="Cambria" w:hAnsi="Cambria" w:eastAsia="宋体" w:cs="Times New Roman"/>
      <w:szCs w:val="24"/>
    </w:rPr>
  </w:style>
  <w:style w:type="paragraph" w:customStyle="1" w:styleId="73">
    <w:name w:val="H91"/>
    <w:basedOn w:val="1"/>
    <w:next w:val="1"/>
    <w:unhideWhenUsed/>
    <w:qFormat/>
    <w:uiPriority w:val="9"/>
    <w:pPr>
      <w:keepNext/>
      <w:keepLines/>
      <w:spacing w:after="64" w:line="320" w:lineRule="auto"/>
      <w:ind w:left="397" w:firstLine="0" w:firstLineChars="0"/>
      <w:outlineLvl w:val="8"/>
    </w:pPr>
    <w:rPr>
      <w:rFonts w:ascii="Cambria" w:hAnsi="Cambria" w:eastAsia="宋体" w:cs="Times New Roman"/>
    </w:rPr>
  </w:style>
  <w:style w:type="paragraph" w:customStyle="1" w:styleId="74">
    <w:name w:val="正文文本1"/>
    <w:basedOn w:val="1"/>
    <w:next w:val="15"/>
    <w:link w:val="75"/>
    <w:qFormat/>
    <w:uiPriority w:val="99"/>
    <w:pPr>
      <w:tabs>
        <w:tab w:val="left" w:pos="567"/>
      </w:tabs>
      <w:spacing w:before="120" w:line="22" w:lineRule="atLeast"/>
    </w:pPr>
    <w:rPr>
      <w:rFonts w:ascii="宋体" w:hAnsi="宋体" w:eastAsia="宋体" w:cs="Times New Roman"/>
    </w:rPr>
  </w:style>
  <w:style w:type="character" w:customStyle="1" w:styleId="75">
    <w:name w:val="正文文本 字符"/>
    <w:basedOn w:val="32"/>
    <w:link w:val="74"/>
    <w:qFormat/>
    <w:uiPriority w:val="99"/>
    <w:rPr>
      <w:rFonts w:ascii="宋体" w:hAnsi="宋体" w:eastAsia="宋体" w:cs="Times New Roman"/>
      <w:sz w:val="24"/>
      <w:szCs w:val="21"/>
    </w:rPr>
  </w:style>
  <w:style w:type="paragraph" w:customStyle="1" w:styleId="76">
    <w:name w:val="TOC 31"/>
    <w:basedOn w:val="1"/>
    <w:next w:val="1"/>
    <w:semiHidden/>
    <w:unhideWhenUsed/>
    <w:qFormat/>
    <w:uiPriority w:val="39"/>
    <w:pPr>
      <w:ind w:left="840" w:leftChars="400"/>
    </w:pPr>
    <w:rPr>
      <w:rFonts w:eastAsia="宋体" w:cs="Times New Roman"/>
    </w:rPr>
  </w:style>
  <w:style w:type="paragraph" w:customStyle="1" w:styleId="77">
    <w:name w:val="脚注文本1"/>
    <w:basedOn w:val="1"/>
    <w:next w:val="24"/>
    <w:link w:val="78"/>
    <w:unhideWhenUsed/>
    <w:qFormat/>
    <w:uiPriority w:val="99"/>
    <w:pPr>
      <w:snapToGrid w:val="0"/>
      <w:jc w:val="left"/>
    </w:pPr>
    <w:rPr>
      <w:rFonts w:eastAsia="宋体" w:cs="Times New Roman"/>
      <w:sz w:val="18"/>
      <w:szCs w:val="18"/>
    </w:rPr>
  </w:style>
  <w:style w:type="character" w:customStyle="1" w:styleId="78">
    <w:name w:val="脚注文本 字符"/>
    <w:basedOn w:val="32"/>
    <w:link w:val="77"/>
    <w:qFormat/>
    <w:uiPriority w:val="99"/>
    <w:rPr>
      <w:rFonts w:ascii="Times New Roman" w:hAnsi="Times New Roman" w:eastAsia="宋体" w:cs="Times New Roman"/>
      <w:sz w:val="18"/>
      <w:szCs w:val="18"/>
    </w:rPr>
  </w:style>
  <w:style w:type="character" w:customStyle="1" w:styleId="79">
    <w:name w:val="正文 + 宋体 Char"/>
    <w:link w:val="80"/>
    <w:qFormat/>
    <w:uiPriority w:val="0"/>
    <w:rPr>
      <w:rFonts w:eastAsia="楷体_GB2312"/>
      <w:szCs w:val="21"/>
      <w:lang w:val="zh-CN" w:eastAsia="zh-TW"/>
    </w:rPr>
  </w:style>
  <w:style w:type="paragraph" w:customStyle="1" w:styleId="80">
    <w:name w:val="正文 + 宋体"/>
    <w:basedOn w:val="15"/>
    <w:link w:val="79"/>
    <w:qFormat/>
    <w:uiPriority w:val="0"/>
    <w:pPr>
      <w:widowControl/>
      <w:tabs>
        <w:tab w:val="left" w:pos="567"/>
        <w:tab w:val="left" w:pos="840"/>
      </w:tabs>
      <w:snapToGrid w:val="0"/>
      <w:spacing w:before="80"/>
      <w:ind w:left="840" w:hanging="420" w:firstLineChars="200"/>
    </w:pPr>
    <w:rPr>
      <w:rFonts w:eastAsia="楷体_GB2312" w:asciiTheme="minorHAnsi" w:hAnsiTheme="minorHAnsi" w:cstheme="minorBidi"/>
      <w:sz w:val="21"/>
      <w:szCs w:val="21"/>
      <w:lang w:val="zh-CN" w:eastAsia="zh-TW"/>
    </w:rPr>
  </w:style>
  <w:style w:type="character" w:customStyle="1" w:styleId="81">
    <w:name w:val="脚注文本 Char1"/>
    <w:basedOn w:val="32"/>
    <w:semiHidden/>
    <w:qFormat/>
    <w:uiPriority w:val="99"/>
    <w:rPr>
      <w:sz w:val="18"/>
      <w:szCs w:val="18"/>
    </w:rPr>
  </w:style>
  <w:style w:type="paragraph" w:customStyle="1" w:styleId="82">
    <w:name w:val="图表标题"/>
    <w:basedOn w:val="1"/>
    <w:link w:val="83"/>
    <w:qFormat/>
    <w:uiPriority w:val="0"/>
    <w:pPr>
      <w:spacing w:before="50" w:beforeLines="50" w:after="50" w:afterLines="50" w:line="415" w:lineRule="auto"/>
      <w:ind w:firstLine="0" w:firstLineChars="0"/>
      <w:jc w:val="center"/>
    </w:pPr>
    <w:rPr>
      <w:rFonts w:eastAsia="宋体" w:cs="Times New Roman"/>
      <w:b/>
    </w:rPr>
  </w:style>
  <w:style w:type="character" w:customStyle="1" w:styleId="83">
    <w:name w:val="图表标题 Char"/>
    <w:basedOn w:val="32"/>
    <w:link w:val="82"/>
    <w:qFormat/>
    <w:uiPriority w:val="0"/>
    <w:rPr>
      <w:rFonts w:ascii="Times New Roman" w:hAnsi="Times New Roman" w:eastAsia="宋体" w:cs="Times New Roman"/>
      <w:b/>
      <w:sz w:val="24"/>
      <w:szCs w:val="21"/>
    </w:rPr>
  </w:style>
  <w:style w:type="paragraph" w:customStyle="1" w:styleId="84">
    <w:name w:val="表格内容"/>
    <w:basedOn w:val="1"/>
    <w:link w:val="85"/>
    <w:qFormat/>
    <w:uiPriority w:val="0"/>
    <w:pPr>
      <w:widowControl/>
      <w:snapToGrid w:val="0"/>
      <w:spacing w:line="240" w:lineRule="auto"/>
      <w:ind w:firstLine="0" w:firstLineChars="0"/>
      <w:jc w:val="center"/>
    </w:pPr>
    <w:rPr>
      <w:rFonts w:eastAsia="宋体" w:cs="宋体"/>
      <w:bCs/>
      <w:color w:val="000000"/>
      <w:kern w:val="0"/>
      <w:sz w:val="21"/>
    </w:rPr>
  </w:style>
  <w:style w:type="character" w:customStyle="1" w:styleId="85">
    <w:name w:val="表格内容 Char"/>
    <w:basedOn w:val="32"/>
    <w:link w:val="84"/>
    <w:qFormat/>
    <w:uiPriority w:val="0"/>
    <w:rPr>
      <w:rFonts w:ascii="Times New Roman" w:hAnsi="Times New Roman" w:eastAsia="宋体" w:cs="宋体"/>
      <w:bCs/>
      <w:color w:val="000000"/>
      <w:kern w:val="0"/>
      <w:szCs w:val="21"/>
    </w:rPr>
  </w:style>
  <w:style w:type="paragraph" w:customStyle="1" w:styleId="86">
    <w:name w:val="表格和图表标题"/>
    <w:basedOn w:val="1"/>
    <w:link w:val="87"/>
    <w:qFormat/>
    <w:uiPriority w:val="0"/>
    <w:pPr>
      <w:spacing w:beforeLines="50"/>
      <w:ind w:firstLine="0" w:firstLineChars="0"/>
      <w:jc w:val="center"/>
    </w:pPr>
    <w:rPr>
      <w:rFonts w:eastAsia="宋体" w:cs="Times New Roman"/>
      <w:szCs w:val="22"/>
    </w:rPr>
  </w:style>
  <w:style w:type="character" w:customStyle="1" w:styleId="87">
    <w:name w:val="表格和图表标题 Char"/>
    <w:basedOn w:val="32"/>
    <w:link w:val="86"/>
    <w:qFormat/>
    <w:uiPriority w:val="0"/>
    <w:rPr>
      <w:rFonts w:ascii="Times New Roman" w:hAnsi="Times New Roman" w:eastAsia="宋体" w:cs="Times New Roman"/>
      <w:sz w:val="24"/>
    </w:rPr>
  </w:style>
  <w:style w:type="paragraph" w:customStyle="1" w:styleId="88">
    <w:name w:val="我的标题3"/>
    <w:basedOn w:val="5"/>
    <w:qFormat/>
    <w:uiPriority w:val="0"/>
    <w:pPr>
      <w:numPr>
        <w:ilvl w:val="0"/>
        <w:numId w:val="0"/>
      </w:numPr>
      <w:spacing w:before="0" w:after="0"/>
    </w:pPr>
    <w:rPr>
      <w:rFonts w:ascii="仿宋_GB2312" w:eastAsia="仿宋_GB2312"/>
    </w:rPr>
  </w:style>
  <w:style w:type="character" w:customStyle="1" w:styleId="89">
    <w:name w:val="题注 Char"/>
    <w:basedOn w:val="32"/>
    <w:link w:val="12"/>
    <w:qFormat/>
    <w:locked/>
    <w:uiPriority w:val="35"/>
    <w:rPr>
      <w:rFonts w:ascii="Cambria" w:hAnsi="Cambria" w:eastAsia="黑体" w:cs="宋体"/>
      <w:sz w:val="20"/>
      <w:szCs w:val="20"/>
    </w:rPr>
  </w:style>
  <w:style w:type="table" w:customStyle="1" w:styleId="90">
    <w:name w:val="网格型浅色1"/>
    <w:basedOn w:val="30"/>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91">
    <w:name w:val="标题 5 字符1"/>
    <w:basedOn w:val="32"/>
    <w:semiHidden/>
    <w:qFormat/>
    <w:uiPriority w:val="9"/>
    <w:rPr>
      <w:rFonts w:ascii="Calibri" w:hAnsi="Calibri" w:eastAsia="仿宋_GB2312" w:cs="宋体"/>
      <w:b/>
      <w:bCs/>
      <w:kern w:val="2"/>
      <w:sz w:val="28"/>
      <w:szCs w:val="28"/>
    </w:rPr>
  </w:style>
  <w:style w:type="character" w:customStyle="1" w:styleId="92">
    <w:name w:val="标题 6 字符1"/>
    <w:basedOn w:val="32"/>
    <w:semiHidden/>
    <w:qFormat/>
    <w:uiPriority w:val="9"/>
    <w:rPr>
      <w:rFonts w:asciiTheme="majorHAnsi" w:hAnsiTheme="majorHAnsi" w:eastAsiaTheme="majorEastAsia" w:cstheme="majorBidi"/>
      <w:b/>
      <w:bCs/>
      <w:kern w:val="2"/>
      <w:sz w:val="24"/>
      <w:szCs w:val="24"/>
    </w:rPr>
  </w:style>
  <w:style w:type="character" w:customStyle="1" w:styleId="93">
    <w:name w:val="标题 7 字符1"/>
    <w:basedOn w:val="32"/>
    <w:semiHidden/>
    <w:qFormat/>
    <w:uiPriority w:val="9"/>
    <w:rPr>
      <w:rFonts w:ascii="Calibri" w:hAnsi="Calibri" w:eastAsia="仿宋_GB2312" w:cs="宋体"/>
      <w:b/>
      <w:bCs/>
      <w:kern w:val="2"/>
      <w:sz w:val="24"/>
      <w:szCs w:val="24"/>
    </w:rPr>
  </w:style>
  <w:style w:type="character" w:customStyle="1" w:styleId="94">
    <w:name w:val="标题 8 字符1"/>
    <w:basedOn w:val="32"/>
    <w:semiHidden/>
    <w:qFormat/>
    <w:uiPriority w:val="9"/>
    <w:rPr>
      <w:rFonts w:asciiTheme="majorHAnsi" w:hAnsiTheme="majorHAnsi" w:eastAsiaTheme="majorEastAsia" w:cstheme="majorBidi"/>
      <w:kern w:val="2"/>
      <w:sz w:val="24"/>
      <w:szCs w:val="24"/>
    </w:rPr>
  </w:style>
  <w:style w:type="character" w:customStyle="1" w:styleId="95">
    <w:name w:val="标题 9 字符1"/>
    <w:basedOn w:val="32"/>
    <w:semiHidden/>
    <w:qFormat/>
    <w:uiPriority w:val="9"/>
    <w:rPr>
      <w:rFonts w:asciiTheme="majorHAnsi" w:hAnsiTheme="majorHAnsi" w:eastAsiaTheme="majorEastAsia" w:cstheme="majorBidi"/>
      <w:kern w:val="2"/>
      <w:sz w:val="21"/>
      <w:szCs w:val="21"/>
    </w:rPr>
  </w:style>
  <w:style w:type="character" w:customStyle="1" w:styleId="96">
    <w:name w:val="正文文本 Char"/>
    <w:basedOn w:val="32"/>
    <w:link w:val="15"/>
    <w:semiHidden/>
    <w:qFormat/>
    <w:uiPriority w:val="99"/>
    <w:rPr>
      <w:rFonts w:ascii="Calibri" w:hAnsi="Calibri" w:eastAsia="仿宋_GB2312" w:cs="宋体"/>
      <w:sz w:val="32"/>
    </w:rPr>
  </w:style>
  <w:style w:type="character" w:customStyle="1" w:styleId="97">
    <w:name w:val="脚注文本 Char"/>
    <w:basedOn w:val="32"/>
    <w:link w:val="24"/>
    <w:semiHidden/>
    <w:qFormat/>
    <w:uiPriority w:val="99"/>
    <w:rPr>
      <w:rFonts w:ascii="Calibri" w:hAnsi="Calibri" w:eastAsia="仿宋_GB2312" w:cs="宋体"/>
      <w:sz w:val="18"/>
      <w:szCs w:val="18"/>
    </w:rPr>
  </w:style>
  <w:style w:type="table" w:customStyle="1" w:styleId="98">
    <w:name w:val="网格型浅色2"/>
    <w:basedOn w:val="3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99">
    <w:name w:val="font81"/>
    <w:basedOn w:val="32"/>
    <w:qFormat/>
    <w:uiPriority w:val="0"/>
    <w:rPr>
      <w:rFonts w:hint="eastAsia" w:ascii="宋体" w:hAnsi="宋体" w:eastAsia="宋体" w:cs="宋体"/>
      <w:color w:val="000000"/>
      <w:sz w:val="21"/>
      <w:szCs w:val="21"/>
      <w:u w:val="none"/>
    </w:rPr>
  </w:style>
  <w:style w:type="paragraph" w:customStyle="1" w:styleId="100">
    <w:name w:val="修订4"/>
    <w:hidden/>
    <w:semiHidden/>
    <w:qFormat/>
    <w:uiPriority w:val="99"/>
    <w:rPr>
      <w:rFonts w:asciiTheme="minorHAnsi" w:hAnsiTheme="minorHAnsi" w:eastAsiaTheme="minorEastAsia" w:cstheme="minorBidi"/>
      <w:kern w:val="2"/>
      <w:sz w:val="24"/>
      <w:szCs w:val="21"/>
      <w:lang w:val="en-US" w:eastAsia="zh-CN" w:bidi="ar-SA"/>
    </w:rPr>
  </w:style>
  <w:style w:type="paragraph" w:customStyle="1" w:styleId="101">
    <w:name w:val="修订5"/>
    <w:hidden/>
    <w:semiHidden/>
    <w:qFormat/>
    <w:uiPriority w:val="99"/>
    <w:rPr>
      <w:rFonts w:asciiTheme="minorHAnsi" w:hAnsiTheme="minorHAnsi" w:eastAsiaTheme="minorEastAsia" w:cstheme="minorBidi"/>
      <w:kern w:val="2"/>
      <w:sz w:val="24"/>
      <w:szCs w:val="21"/>
      <w:lang w:val="en-US" w:eastAsia="zh-CN" w:bidi="ar-SA"/>
    </w:rPr>
  </w:style>
  <w:style w:type="table" w:customStyle="1" w:styleId="102">
    <w:name w:val="样式1"/>
    <w:basedOn w:val="30"/>
    <w:qFormat/>
    <w:uiPriority w:val="99"/>
    <w:pPr>
      <w:spacing w:line="300" w:lineRule="auto"/>
      <w:jc w:val="center"/>
    </w:pPr>
    <w:rPr>
      <w:kern w:val="2"/>
      <w:sz w:val="21"/>
      <w:szCs w:val="22"/>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jc w:val="center"/>
    </w:trPr>
    <w:tcPr>
      <w:vAlign w:val="center"/>
    </w:tcPr>
    <w:tblStylePr w:type="firstRow">
      <w:rPr>
        <w:b/>
        <w:i w:val="0"/>
      </w:rPr>
      <w:tcPr>
        <w:shd w:val="clear" w:color="auto" w:fill="D8D8D8" w:themeFill="background1" w:themeFillShade="D9"/>
      </w:tcPr>
    </w:tblStylePr>
  </w:style>
  <w:style w:type="paragraph" w:customStyle="1" w:styleId="103">
    <w:name w:val="修订6"/>
    <w:hidden/>
    <w:unhideWhenUsed/>
    <w:qFormat/>
    <w:uiPriority w:val="99"/>
    <w:rPr>
      <w:rFonts w:asciiTheme="minorHAnsi" w:hAnsiTheme="minorHAnsi" w:eastAsiaTheme="minorEastAsia" w:cstheme="minorBidi"/>
      <w:kern w:val="2"/>
      <w:sz w:val="24"/>
      <w:szCs w:val="21"/>
      <w:lang w:val="en-US" w:eastAsia="zh-CN" w:bidi="ar-SA"/>
    </w:rPr>
  </w:style>
  <w:style w:type="paragraph" w:customStyle="1" w:styleId="104">
    <w:name w:val="段"/>
    <w:qFormat/>
    <w:uiPriority w:val="0"/>
    <w:pPr>
      <w:numPr>
        <w:ilvl w:val="0"/>
        <w:numId w:val="3"/>
      </w:numPr>
      <w:autoSpaceDE w:val="0"/>
      <w:autoSpaceDN w:val="0"/>
      <w:jc w:val="both"/>
    </w:pPr>
    <w:rPr>
      <w:rFonts w:ascii="宋体" w:hAnsi="Times New Roman" w:eastAsia="宋体" w:cs="Times New Roman"/>
      <w:sz w:val="21"/>
      <w:lang w:val="en-US" w:eastAsia="zh-CN" w:bidi="ar-SA"/>
    </w:rPr>
  </w:style>
  <w:style w:type="paragraph" w:customStyle="1" w:styleId="105">
    <w:name w:val="章节题目"/>
    <w:basedOn w:val="106"/>
    <w:next w:val="1"/>
    <w:qFormat/>
    <w:uiPriority w:val="99"/>
    <w:pPr>
      <w:tabs>
        <w:tab w:val="left" w:pos="567"/>
      </w:tabs>
      <w:spacing w:before="720" w:after="400" w:line="540" w:lineRule="atLeast"/>
      <w:ind w:right="2160"/>
    </w:pPr>
    <w:rPr>
      <w:rFonts w:ascii="Times New Roman" w:hAnsi="Times New Roman" w:cs="Times New Roman"/>
      <w:spacing w:val="-40"/>
      <w:sz w:val="60"/>
      <w:szCs w:val="60"/>
    </w:rPr>
  </w:style>
  <w:style w:type="paragraph" w:customStyle="1" w:styleId="106">
    <w:name w:val="基准标题"/>
    <w:basedOn w:val="74"/>
    <w:next w:val="15"/>
    <w:qFormat/>
    <w:uiPriority w:val="99"/>
    <w:pPr>
      <w:keepNext/>
      <w:keepLines/>
      <w:spacing w:before="140" w:line="220" w:lineRule="atLeast"/>
    </w:pPr>
    <w:rPr>
      <w:rFonts w:ascii="Arial" w:hAnsi="Arial" w:cs="Arial"/>
      <w:spacing w:val="-4"/>
      <w:kern w:val="28"/>
      <w:sz w:val="22"/>
      <w:szCs w:val="22"/>
    </w:rPr>
  </w:style>
  <w:style w:type="paragraph" w:customStyle="1" w:styleId="107">
    <w:name w:val="5正文_质量报告书"/>
    <w:basedOn w:val="1"/>
    <w:qFormat/>
    <w:uiPriority w:val="0"/>
    <w:pPr>
      <w:spacing w:before="50" w:beforeLines="50" w:after="50" w:afterLines="50" w:line="440" w:lineRule="exact"/>
    </w:pPr>
    <w:rPr>
      <w:rFonts w:eastAsia="仿宋" w:cs="Times New Roman"/>
      <w:szCs w:val="28"/>
    </w:rPr>
  </w:style>
  <w:style w:type="character" w:customStyle="1" w:styleId="108">
    <w:name w:val="font101"/>
    <w:basedOn w:val="32"/>
    <w:qFormat/>
    <w:uiPriority w:val="0"/>
    <w:rPr>
      <w:rFonts w:hint="eastAsia" w:ascii="宋体" w:hAnsi="宋体" w:eastAsia="宋体" w:cs="宋体"/>
      <w:b/>
      <w:bCs/>
      <w:color w:val="000000"/>
      <w:sz w:val="21"/>
      <w:szCs w:val="21"/>
      <w:u w:val="none"/>
    </w:rPr>
  </w:style>
  <w:style w:type="character" w:customStyle="1" w:styleId="109">
    <w:name w:val="font171"/>
    <w:basedOn w:val="32"/>
    <w:qFormat/>
    <w:uiPriority w:val="0"/>
    <w:rPr>
      <w:rFonts w:hint="default" w:ascii="Times New Roman" w:hAnsi="Times New Roman" w:cs="Times New Roman"/>
      <w:color w:val="000000"/>
      <w:sz w:val="21"/>
      <w:szCs w:val="21"/>
      <w:u w:val="none"/>
      <w:vertAlign w:val="subscript"/>
    </w:rPr>
  </w:style>
  <w:style w:type="character" w:customStyle="1" w:styleId="110">
    <w:name w:val="font71"/>
    <w:basedOn w:val="3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503FD-71A8-4E89-A58B-5FCCAE7EA4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98</Pages>
  <Words>8344</Words>
  <Characters>47566</Characters>
  <Lines>396</Lines>
  <Paragraphs>111</Paragraphs>
  <TotalTime>72</TotalTime>
  <ScaleCrop>false</ScaleCrop>
  <LinksUpToDate>false</LinksUpToDate>
  <CharactersWithSpaces>55799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2023-10-25T08:02:00Z</dcterms:created>
  <dc:creator>zhao zp</dc:creator>
  <cp:lastModifiedBy>小熊饼饼</cp:lastModifiedBy>
  <cp:lastPrinted>2023-08-15T17:28:00Z</cp:lastPrinted>
  <dcterms:modified xsi:type="dcterms:W3CDTF">2023-11-10T08:24:01Z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CB9B36AEEF2A40B9B2036979EEC424BD_13</vt:lpwstr>
  </property>
  <property fmtid="{D5CDD505-2E9C-101B-9397-08002B2CF9AE}" pid="4" name="_DocHome">
    <vt:i4>-64717646</vt:i4>
  </property>
</Properties>
</file>