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4438A">
      <w:pPr>
        <w:pStyle w:val="5"/>
        <w:spacing w:before="0" w:beforeAutospacing="0" w:after="0" w:afterAutospacing="0" w:line="600" w:lineRule="exact"/>
        <w:jc w:val="center"/>
        <w:rPr>
          <w:rFonts w:hint="eastAsia" w:ascii="Times New Roman" w:hAnsi="Times New Roman" w:eastAsia="方正小标宋简体"/>
          <w:color w:val="auto"/>
          <w:spacing w:val="10"/>
          <w:sz w:val="44"/>
          <w:szCs w:val="44"/>
          <w:lang w:eastAsia="zh-CN"/>
        </w:rPr>
      </w:pPr>
      <w:bookmarkStart w:id="10" w:name="_GoBack"/>
      <w:r>
        <w:rPr>
          <w:rFonts w:hint="eastAsia" w:ascii="Times New Roman" w:hAnsi="Times New Roman" w:eastAsia="方正小标宋简体"/>
          <w:color w:val="auto"/>
          <w:spacing w:val="10"/>
          <w:sz w:val="44"/>
          <w:szCs w:val="44"/>
          <w:lang w:eastAsia="zh-CN"/>
        </w:rPr>
        <w:t>泰山区信访局</w:t>
      </w:r>
    </w:p>
    <w:p w14:paraId="3ECFEA25">
      <w:pPr>
        <w:pStyle w:val="5"/>
        <w:spacing w:before="0" w:beforeAutospacing="0" w:after="0" w:afterAutospacing="0" w:line="600" w:lineRule="exact"/>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rPr>
        <w:t>202</w:t>
      </w:r>
      <w:r>
        <w:rPr>
          <w:rFonts w:hint="default" w:ascii="Times New Roman" w:hAnsi="Times New Roman" w:eastAsia="方正小标宋简体"/>
          <w:color w:val="auto"/>
          <w:spacing w:val="10"/>
          <w:sz w:val="44"/>
          <w:szCs w:val="44"/>
          <w:lang w:val="en"/>
        </w:rPr>
        <w:t>4</w:t>
      </w:r>
      <w:r>
        <w:rPr>
          <w:rFonts w:ascii="Times New Roman" w:hAnsi="Times New Roman" w:eastAsia="方正小标宋简体"/>
          <w:color w:val="auto"/>
          <w:spacing w:val="10"/>
          <w:sz w:val="44"/>
          <w:szCs w:val="44"/>
        </w:rPr>
        <w:t>年政府信息公开工作年度报告</w:t>
      </w:r>
    </w:p>
    <w:p w14:paraId="392801D0">
      <w:pPr>
        <w:pStyle w:val="5"/>
        <w:spacing w:before="0" w:beforeAutospacing="0" w:after="0" w:afterAutospacing="0" w:line="600" w:lineRule="exact"/>
        <w:ind w:firstLine="880" w:firstLineChars="200"/>
        <w:jc w:val="center"/>
        <w:rPr>
          <w:rFonts w:ascii="Times New Roman" w:hAnsi="Times New Roman" w:eastAsia="方正小标宋简体"/>
          <w:color w:val="auto"/>
          <w:sz w:val="44"/>
          <w:szCs w:val="44"/>
        </w:rPr>
      </w:pPr>
    </w:p>
    <w:p w14:paraId="7C88D411">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default" w:ascii="仿宋_GB2312" w:eastAsia="仿宋_GB2312"/>
          <w:color w:val="auto"/>
          <w:sz w:val="32"/>
          <w:szCs w:val="32"/>
          <w:lang w:val="en"/>
        </w:rPr>
        <w:t>4</w:t>
      </w:r>
      <w:r>
        <w:rPr>
          <w:rFonts w:hint="eastAsia" w:ascii="仿宋_GB2312" w:eastAsia="仿宋_GB2312"/>
          <w:color w:val="auto"/>
          <w:sz w:val="32"/>
          <w:szCs w:val="32"/>
        </w:rPr>
        <w:t>年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default" w:ascii="仿宋_GB2312" w:eastAsia="仿宋_GB2312"/>
          <w:color w:val="auto"/>
          <w:sz w:val="32"/>
          <w:szCs w:val="32"/>
          <w:lang w:val="en"/>
        </w:rPr>
        <w:t>4</w:t>
      </w:r>
      <w:r>
        <w:rPr>
          <w:rFonts w:hint="eastAsia" w:ascii="仿宋_GB2312" w:eastAsia="仿宋_GB2312"/>
          <w:color w:val="auto"/>
          <w:sz w:val="32"/>
          <w:szCs w:val="32"/>
        </w:rPr>
        <w:t>年1月1日起至202</w:t>
      </w:r>
      <w:r>
        <w:rPr>
          <w:rFonts w:hint="default" w:ascii="仿宋_GB2312" w:eastAsia="仿宋_GB2312"/>
          <w:color w:val="auto"/>
          <w:sz w:val="32"/>
          <w:szCs w:val="32"/>
          <w:lang w:val="en"/>
        </w:rPr>
        <w:t>4</w:t>
      </w:r>
      <w:r>
        <w:rPr>
          <w:rFonts w:hint="eastAsia" w:ascii="仿宋_GB2312" w:eastAsia="仿宋_GB2312"/>
          <w:color w:val="auto"/>
          <w:sz w:val="32"/>
          <w:szCs w:val="32"/>
        </w:rPr>
        <w:t>年12月31日止。</w:t>
      </w:r>
    </w:p>
    <w:p w14:paraId="7A04C29C">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14:paraId="2B750105">
      <w:pPr>
        <w:pStyle w:val="5"/>
        <w:widowControl/>
        <w:spacing w:before="0" w:beforeAutospacing="0" w:after="0" w:afterAutospacing="0" w:line="315" w:lineRule="atLeast"/>
        <w:ind w:firstLine="645"/>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eastAsia="zh-CN"/>
        </w:rPr>
        <w:t>区</w:t>
      </w:r>
      <w:r>
        <w:rPr>
          <w:rFonts w:hint="eastAsia" w:ascii="仿宋_GB2312" w:eastAsia="仿宋_GB2312"/>
          <w:color w:val="auto"/>
          <w:sz w:val="32"/>
          <w:szCs w:val="32"/>
        </w:rPr>
        <w:t>信访局坚持以习近平新时代中国特色社会主义思想为指导，按照《中华人民共和国政府信息公开条例》和中央、省、市</w:t>
      </w:r>
      <w:r>
        <w:rPr>
          <w:rFonts w:hint="eastAsia" w:ascii="仿宋_GB2312" w:eastAsia="仿宋_GB2312"/>
          <w:color w:val="auto"/>
          <w:sz w:val="32"/>
          <w:szCs w:val="32"/>
          <w:lang w:eastAsia="zh-CN"/>
        </w:rPr>
        <w:t>、区</w:t>
      </w:r>
      <w:r>
        <w:rPr>
          <w:rFonts w:hint="eastAsia" w:ascii="仿宋_GB2312" w:eastAsia="仿宋_GB2312"/>
          <w:color w:val="auto"/>
          <w:sz w:val="32"/>
          <w:szCs w:val="32"/>
        </w:rPr>
        <w:t>等有关规定，</w:t>
      </w:r>
      <w:r>
        <w:rPr>
          <w:rFonts w:hint="eastAsia" w:ascii="仿宋_GB2312" w:eastAsia="仿宋_GB2312"/>
          <w:color w:val="auto"/>
          <w:sz w:val="32"/>
          <w:szCs w:val="32"/>
          <w:lang w:eastAsia="zh-CN"/>
        </w:rPr>
        <w:t>做好信息公开前的保密审查工作，</w:t>
      </w:r>
      <w:r>
        <w:rPr>
          <w:rFonts w:hint="eastAsia" w:ascii="仿宋_GB2312" w:eastAsia="仿宋_GB2312"/>
          <w:color w:val="auto"/>
          <w:sz w:val="32"/>
          <w:szCs w:val="32"/>
        </w:rPr>
        <w:t>进一步推动</w:t>
      </w:r>
      <w:r>
        <w:rPr>
          <w:rFonts w:hint="eastAsia" w:ascii="仿宋_GB2312" w:eastAsia="仿宋_GB2312"/>
          <w:color w:val="auto"/>
          <w:sz w:val="32"/>
          <w:szCs w:val="32"/>
          <w:lang w:eastAsia="zh-CN"/>
        </w:rPr>
        <w:t>政府信息</w:t>
      </w:r>
      <w:r>
        <w:rPr>
          <w:rFonts w:hint="eastAsia" w:ascii="仿宋_GB2312" w:eastAsia="仿宋_GB2312"/>
          <w:color w:val="auto"/>
          <w:sz w:val="32"/>
          <w:szCs w:val="32"/>
        </w:rPr>
        <w:t>公开工作规范化、透明化</w:t>
      </w:r>
      <w:r>
        <w:rPr>
          <w:rFonts w:hint="eastAsia" w:ascii="仿宋_GB2312" w:eastAsia="仿宋_GB2312"/>
          <w:color w:val="auto"/>
          <w:sz w:val="32"/>
          <w:szCs w:val="32"/>
          <w:lang w:eastAsia="zh-CN"/>
        </w:rPr>
        <w:t>，</w:t>
      </w:r>
      <w:r>
        <w:rPr>
          <w:rFonts w:hint="eastAsia" w:ascii="仿宋_GB2312" w:eastAsia="仿宋_GB2312"/>
          <w:color w:val="auto"/>
          <w:sz w:val="32"/>
          <w:szCs w:val="32"/>
        </w:rPr>
        <w:t>积极回应社会关切，保障群众知情权、参与权、表达权和监督权，</w:t>
      </w:r>
      <w:r>
        <w:rPr>
          <w:rFonts w:hint="eastAsia" w:ascii="仿宋_GB2312" w:eastAsia="仿宋_GB2312"/>
          <w:color w:val="auto"/>
          <w:sz w:val="32"/>
          <w:szCs w:val="32"/>
          <w:lang w:eastAsia="zh-CN"/>
        </w:rPr>
        <w:t>切实</w:t>
      </w:r>
      <w:r>
        <w:rPr>
          <w:rFonts w:hint="eastAsia" w:ascii="仿宋_GB2312" w:eastAsia="仿宋_GB2312"/>
          <w:color w:val="auto"/>
          <w:sz w:val="32"/>
          <w:szCs w:val="32"/>
        </w:rPr>
        <w:t>增强公开实效。</w:t>
      </w:r>
    </w:p>
    <w:p w14:paraId="3ED34245">
      <w:pPr>
        <w:adjustRightInd w:val="0"/>
        <w:snapToGrid w:val="0"/>
        <w:spacing w:line="600" w:lineRule="exact"/>
        <w:ind w:firstLine="630"/>
        <w:jc w:val="left"/>
        <w:rPr>
          <w:rFonts w:hint="eastAsia" w:ascii="仿宋_GB2312" w:hAnsi="Calibri" w:eastAsia="仿宋_GB2312" w:cs="Times New Roman"/>
          <w:color w:val="auto"/>
          <w:kern w:val="0"/>
          <w:sz w:val="32"/>
          <w:szCs w:val="32"/>
          <w:lang w:val="en-US" w:eastAsia="zh-CN" w:bidi="ar-SA"/>
        </w:rPr>
      </w:pPr>
      <w:r>
        <w:rPr>
          <w:rFonts w:ascii="仿宋_GB2312" w:eastAsia="仿宋_GB2312"/>
          <w:b/>
          <w:bCs/>
          <w:color w:val="auto"/>
          <w:sz w:val="32"/>
          <w:szCs w:val="32"/>
        </w:rPr>
        <w:t>1.主动公开</w:t>
      </w:r>
      <w:r>
        <w:rPr>
          <w:rFonts w:hint="eastAsia" w:ascii="仿宋_GB2312" w:eastAsia="仿宋_GB2312"/>
          <w:b/>
          <w:bCs/>
          <w:color w:val="auto"/>
          <w:sz w:val="32"/>
          <w:szCs w:val="32"/>
        </w:rPr>
        <w:t>。</w:t>
      </w:r>
      <w:r>
        <w:rPr>
          <w:rFonts w:hint="eastAsia" w:ascii="仿宋_GB2312" w:hAnsi="Calibri" w:eastAsia="仿宋_GB2312" w:cs="Times New Roman"/>
          <w:color w:val="auto"/>
          <w:kern w:val="0"/>
          <w:sz w:val="32"/>
          <w:szCs w:val="32"/>
          <w:lang w:val="en-US" w:eastAsia="zh-CN" w:bidi="ar-SA"/>
        </w:rPr>
        <w:t>2024年，区信访局按照区政府政务公开办公室要求，结合信访本职工作，认真梳理筛选，严格程序审查，主动通过区政府信息公开平台及时公布工作动态、行政权力运行公开等信息39条。对主动公开栏目，建立台账管理制度，每季度调度推进填报和更新情况，确保了主动公开栏目及时、规范填报。</w:t>
      </w:r>
    </w:p>
    <w:p w14:paraId="28970F42">
      <w:pPr>
        <w:ind w:firstLine="643" w:firstLineChars="200"/>
        <w:rPr>
          <w:rFonts w:hint="eastAsia" w:ascii="仿宋_GB2312" w:eastAsia="仿宋_GB2312"/>
          <w:color w:val="auto"/>
          <w:sz w:val="32"/>
          <w:szCs w:val="32"/>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仿宋_GB2312" w:hAnsi="Calibri" w:eastAsia="仿宋_GB2312" w:cs="Times New Roman"/>
          <w:color w:val="auto"/>
          <w:kern w:val="0"/>
          <w:sz w:val="32"/>
          <w:szCs w:val="32"/>
          <w:lang w:val="en-US" w:eastAsia="zh-CN" w:bidi="ar-SA"/>
        </w:rPr>
        <w:t>2024年度，区信访局共受理办理申请人依申请公开事项2项，比去年增加2项，申请涉及“行政机关工作职能、工作范围”和“信访工作资料”相关内容。区信访局按照规定及时受理2项依申请公开事项后，第一时间分析研究，请示咨询业务主管部门区政府办公室规范答复相关事宜，并在规定期限内进行了规范处理答复。</w:t>
      </w:r>
    </w:p>
    <w:p w14:paraId="1BE6CCEF">
      <w:pPr>
        <w:pStyle w:val="11"/>
        <w:numPr>
          <w:ilvl w:val="0"/>
          <w:numId w:val="0"/>
        </w:numPr>
        <w:ind w:firstLine="643" w:firstLineChars="200"/>
        <w:rPr>
          <w:rFonts w:hint="default" w:ascii="仿宋_GB2312" w:eastAsia="仿宋_GB2312"/>
          <w:color w:val="auto"/>
          <w:sz w:val="32"/>
          <w:szCs w:val="32"/>
          <w:lang w:val="en"/>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eastAsia" w:ascii="仿宋_GB2312" w:eastAsia="仿宋_GB2312"/>
          <w:b w:val="0"/>
          <w:bCs w:val="0"/>
          <w:color w:val="auto"/>
          <w:sz w:val="32"/>
          <w:szCs w:val="32"/>
          <w:lang w:eastAsia="zh-CN"/>
        </w:rPr>
        <w:t>区信访局进一步健全完善</w:t>
      </w:r>
      <w:r>
        <w:rPr>
          <w:rFonts w:hint="eastAsia" w:ascii="仿宋_GB2312" w:eastAsia="仿宋_GB2312"/>
          <w:color w:val="auto"/>
          <w:sz w:val="32"/>
          <w:szCs w:val="32"/>
        </w:rPr>
        <w:t>政府信息管理动态调整机制</w:t>
      </w:r>
      <w:r>
        <w:rPr>
          <w:rFonts w:hint="eastAsia" w:ascii="仿宋_GB2312" w:eastAsia="仿宋_GB2312"/>
          <w:color w:val="auto"/>
          <w:sz w:val="32"/>
          <w:szCs w:val="32"/>
          <w:lang w:eastAsia="zh-CN"/>
        </w:rPr>
        <w:t>，</w:t>
      </w:r>
      <w:r>
        <w:rPr>
          <w:rFonts w:hint="eastAsia" w:ascii="仿宋_GB2312" w:eastAsia="仿宋_GB2312"/>
          <w:b w:val="0"/>
          <w:bCs w:val="0"/>
          <w:color w:val="auto"/>
          <w:sz w:val="32"/>
          <w:szCs w:val="32"/>
          <w:lang w:eastAsia="zh-CN"/>
        </w:rPr>
        <w:t>对政务公开日常工作内容，对应不同栏目，有计划地发布更新工作内容，并</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每一项</w:t>
      </w:r>
      <w:r>
        <w:rPr>
          <w:rFonts w:hint="eastAsia" w:ascii="仿宋_GB2312" w:hAnsi="仿宋_GB2312" w:eastAsia="仿宋_GB2312" w:cs="仿宋_GB2312"/>
          <w:color w:val="auto"/>
          <w:sz w:val="32"/>
          <w:szCs w:val="32"/>
        </w:rPr>
        <w:t>拟发布的信息严格进行保密性审查，</w:t>
      </w:r>
      <w:r>
        <w:rPr>
          <w:rFonts w:hint="eastAsia" w:ascii="仿宋_GB2312" w:hAnsi="仿宋_GB2312" w:eastAsia="仿宋_GB2312" w:cs="仿宋_GB2312"/>
          <w:color w:val="auto"/>
          <w:sz w:val="32"/>
          <w:szCs w:val="32"/>
          <w:lang w:eastAsia="zh-CN"/>
        </w:rPr>
        <w:t>全年政府信息管理工作规范高效。</w:t>
      </w:r>
    </w:p>
    <w:p w14:paraId="068543BD">
      <w:pPr>
        <w:ind w:firstLine="643" w:firstLineChars="200"/>
        <w:rPr>
          <w:rFonts w:hint="eastAsia" w:ascii="仿宋_GB2312" w:eastAsia="仿宋_GB2312"/>
          <w:b/>
          <w:bCs/>
          <w:color w:val="auto"/>
          <w:sz w:val="32"/>
          <w:szCs w:val="32"/>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eastAsia" w:ascii="仿宋_GB2312" w:eastAsia="仿宋_GB2312" w:hAnsiTheme="minorHAnsi" w:cstheme="minorBidi"/>
          <w:b w:val="0"/>
          <w:bCs w:val="0"/>
          <w:color w:val="auto"/>
          <w:kern w:val="2"/>
          <w:sz w:val="32"/>
          <w:szCs w:val="32"/>
          <w:lang w:val="en-US" w:eastAsia="zh-CN" w:bidi="ar-SA"/>
        </w:rPr>
        <w:t>区信访局着力推进政府信息公开平台规范化建设，定期组织开展平台建设相关内容培训，并结合信访工作特点，做好平台建设内容审核把关。</w:t>
      </w:r>
    </w:p>
    <w:p w14:paraId="2A74A31E">
      <w:pPr>
        <w:pStyle w:val="11"/>
        <w:numPr>
          <w:ilvl w:val="0"/>
          <w:numId w:val="0"/>
        </w:numPr>
        <w:ind w:firstLine="643" w:firstLineChars="200"/>
        <w:rPr>
          <w:rFonts w:hint="default" w:ascii="仿宋_GB2312" w:eastAsia="仿宋_GB2312"/>
          <w:color w:val="auto"/>
          <w:sz w:val="32"/>
          <w:szCs w:val="32"/>
          <w:lang w:val="en"/>
        </w:rPr>
      </w:pPr>
      <w:r>
        <w:rPr>
          <w:rFonts w:ascii="仿宋_GB2312" w:eastAsia="仿宋_GB2312"/>
          <w:b/>
          <w:bCs/>
          <w:color w:val="auto"/>
          <w:sz w:val="32"/>
          <w:szCs w:val="32"/>
        </w:rPr>
        <w:t>5.监督保障</w:t>
      </w:r>
      <w:r>
        <w:rPr>
          <w:rFonts w:hint="eastAsia" w:ascii="仿宋_GB2312" w:eastAsia="仿宋_GB2312"/>
          <w:b/>
          <w:bCs/>
          <w:color w:val="auto"/>
          <w:sz w:val="32"/>
          <w:szCs w:val="32"/>
        </w:rPr>
        <w:t>。</w:t>
      </w:r>
      <w:r>
        <w:rPr>
          <w:rFonts w:hint="eastAsia" w:ascii="仿宋_GB2312" w:hAnsi="仿宋_GB2312" w:eastAsia="仿宋_GB2312" w:cs="仿宋_GB2312"/>
          <w:color w:val="auto"/>
          <w:sz w:val="32"/>
          <w:szCs w:val="32"/>
          <w:lang w:val="en-US" w:eastAsia="zh-CN"/>
        </w:rPr>
        <w:t>根据政务公开工作需要，成立了以局主要负责同志为组长的局政务公开工作领导小组，</w:t>
      </w:r>
      <w:r>
        <w:rPr>
          <w:rFonts w:hint="eastAsia" w:ascii="仿宋_GB2312" w:hAnsi="仿宋_GB2312" w:eastAsia="仿宋_GB2312" w:cs="仿宋_GB2312"/>
          <w:color w:val="auto"/>
          <w:sz w:val="32"/>
          <w:szCs w:val="32"/>
        </w:rPr>
        <w:t>明确</w:t>
      </w:r>
      <w:r>
        <w:rPr>
          <w:rFonts w:hint="eastAsia" w:ascii="仿宋_GB2312" w:hAnsi="仿宋_GB2312" w:eastAsia="仿宋_GB2312" w:cs="仿宋_GB2312"/>
          <w:color w:val="auto"/>
          <w:sz w:val="32"/>
          <w:szCs w:val="32"/>
          <w:lang w:eastAsia="zh-CN"/>
        </w:rPr>
        <w:t>了</w:t>
      </w:r>
      <w:r>
        <w:rPr>
          <w:rFonts w:hint="eastAsia" w:ascii="仿宋_GB2312" w:eastAsia="仿宋_GB2312"/>
          <w:color w:val="auto"/>
          <w:sz w:val="32"/>
          <w:szCs w:val="32"/>
        </w:rPr>
        <w:t>分工负责人</w:t>
      </w:r>
      <w:r>
        <w:rPr>
          <w:rFonts w:hint="eastAsia" w:ascii="仿宋_GB2312" w:eastAsia="仿宋_GB2312"/>
          <w:color w:val="auto"/>
          <w:sz w:val="32"/>
          <w:szCs w:val="32"/>
          <w:lang w:val="en-US" w:eastAsia="zh-CN"/>
        </w:rPr>
        <w:t>1名、</w:t>
      </w:r>
      <w:r>
        <w:rPr>
          <w:rFonts w:hint="eastAsia" w:ascii="仿宋_GB2312" w:eastAsia="仿宋_GB2312"/>
          <w:color w:val="auto"/>
          <w:sz w:val="32"/>
          <w:szCs w:val="32"/>
        </w:rPr>
        <w:t>具体工作人员</w:t>
      </w:r>
      <w:r>
        <w:rPr>
          <w:rFonts w:hint="eastAsia" w:ascii="仿宋_GB2312" w:eastAsia="仿宋_GB2312"/>
          <w:color w:val="auto"/>
          <w:sz w:val="32"/>
          <w:szCs w:val="32"/>
          <w:lang w:val="en-US" w:eastAsia="zh-CN"/>
        </w:rPr>
        <w:t>1名、参与人员6名</w:t>
      </w:r>
      <w:r>
        <w:rPr>
          <w:rFonts w:hint="eastAsia" w:ascii="仿宋_GB2312" w:eastAsia="仿宋_GB2312"/>
          <w:color w:val="auto"/>
          <w:sz w:val="32"/>
          <w:szCs w:val="32"/>
        </w:rPr>
        <w:t>，</w:t>
      </w:r>
      <w:r>
        <w:rPr>
          <w:rFonts w:hint="eastAsia" w:ascii="仿宋_GB2312" w:hAnsi="微软雅黑" w:eastAsia="仿宋_GB2312" w:cs="仿宋_GB2312"/>
          <w:color w:val="auto"/>
          <w:kern w:val="0"/>
          <w:sz w:val="31"/>
          <w:szCs w:val="31"/>
          <w:lang w:val="en-US" w:eastAsia="zh-CN" w:bidi="ar-SA"/>
        </w:rPr>
        <w:t>局领导小组定期听取工作汇报，</w:t>
      </w:r>
      <w:r>
        <w:rPr>
          <w:rFonts w:hint="eastAsia" w:ascii="仿宋_GB2312" w:hAnsi="仿宋_GB2312" w:eastAsia="仿宋_GB2312" w:cs="仿宋_GB2312"/>
          <w:color w:val="auto"/>
          <w:sz w:val="32"/>
          <w:szCs w:val="32"/>
          <w:lang w:val="en-US" w:eastAsia="zh-CN"/>
        </w:rPr>
        <w:t>集中研究解决工作中遇到的困难和问题</w:t>
      </w:r>
      <w:r>
        <w:rPr>
          <w:rFonts w:hint="eastAsia" w:ascii="仿宋_GB2312" w:hAnsi="微软雅黑" w:eastAsia="仿宋_GB2312" w:cs="仿宋_GB2312"/>
          <w:color w:val="auto"/>
          <w:kern w:val="0"/>
          <w:sz w:val="31"/>
          <w:szCs w:val="31"/>
          <w:lang w:val="en-US" w:eastAsia="zh-CN" w:bidi="ar-SA"/>
        </w:rPr>
        <w:t>，</w:t>
      </w:r>
      <w:r>
        <w:rPr>
          <w:rFonts w:hint="eastAsia" w:ascii="仿宋_GB2312" w:hAnsi="仿宋_GB2312" w:eastAsia="仿宋_GB2312" w:cs="仿宋_GB2312"/>
          <w:color w:val="auto"/>
          <w:sz w:val="32"/>
          <w:szCs w:val="32"/>
          <w:lang w:val="en-US" w:eastAsia="zh-CN"/>
        </w:rPr>
        <w:t>形成了主要领导亲自抓、分管领导靠上抓、科室主任具体抓、科室人员共同抓的良好工作格局。今年共组织召开2次政务公开工作会议，及时传达上级和区委、区政府有关政务公开工作的精神要求，认真分析研判政务公开工作面临的形势任务，精心谋划部署局政务公开工作，确保了上级部署要求在局高质高效落地落实。</w:t>
      </w:r>
    </w:p>
    <w:p w14:paraId="03024F75">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14:paraId="1A8147BB">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BB0F65E">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14:paraId="41E4F86C">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525B5BBF">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14:paraId="549ADBC2">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14:paraId="65B1B68C">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14:paraId="387DE4B9">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14:paraId="11F032D9">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7A7EBB8">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14:paraId="50D24225">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6410CA78">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78ADE9FA">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14:paraId="3328B60B">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4EA6A8CD">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14:paraId="1C10BA29">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0AF6D8FA">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65E9C084">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14:paraId="5CC264A3">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F8C14D1">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14:paraId="490CAFAF">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7BDE72CA">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64571BB2">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4F7DE65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F1493BE">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059E4865">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14:paraId="3922978B">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489C3FF">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14:paraId="6956AD4D">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DE2D3B1">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5E941C82">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1C906651">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76B6A57">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2785E502">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14:paraId="2DFDE140">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62175920">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2708185F">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14:paraId="2E41AF53">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81DA420">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14:paraId="3107D0EF">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14CDB625">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68585E5A">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14:paraId="12A8BBBE">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2183FAF4">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385619E8">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bl>
    <w:p w14:paraId="0DF6931F">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p w14:paraId="10E58FDB">
      <w:pPr>
        <w:pStyle w:val="5"/>
        <w:numPr>
          <w:ilvl w:val="0"/>
          <w:numId w:val="0"/>
        </w:numPr>
        <w:spacing w:before="0" w:beforeAutospacing="0" w:after="0" w:afterAutospacing="0" w:line="600" w:lineRule="exact"/>
        <w:jc w:val="both"/>
        <w:rPr>
          <w:rFonts w:ascii="黑体" w:hAnsi="黑体" w:eastAsia="黑体"/>
          <w:color w:val="auto"/>
          <w:sz w:val="32"/>
          <w:szCs w:val="32"/>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046FF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7980889B">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14:paraId="09A694FB">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14:paraId="278B926D">
            <w:pPr>
              <w:widowControl/>
              <w:spacing w:line="320" w:lineRule="exact"/>
              <w:jc w:val="center"/>
              <w:rPr>
                <w:rFonts w:hint="eastAsia" w:ascii="黑体" w:hAnsi="黑体" w:eastAsia="黑体"/>
                <w:color w:val="auto"/>
                <w:szCs w:val="21"/>
                <w:lang w:eastAsia="zh-CN"/>
              </w:rPr>
            </w:pPr>
            <w:r>
              <w:rPr>
                <w:rFonts w:hint="eastAsia" w:ascii="黑体" w:hAnsi="黑体" w:eastAsia="黑体"/>
                <w:color w:val="auto"/>
                <w:kern w:val="0"/>
                <w:szCs w:val="21"/>
              </w:rPr>
              <w:t>申请人情况</w:t>
            </w:r>
          </w:p>
        </w:tc>
      </w:tr>
      <w:tr w14:paraId="7ED48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55C3AB4B">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14:paraId="7FFB3275">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14:paraId="3608DCFE">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14:paraId="7683A89C">
            <w:pPr>
              <w:widowControl/>
              <w:jc w:val="center"/>
              <w:rPr>
                <w:rFonts w:ascii="黑体" w:hAnsi="黑体" w:eastAsia="黑体"/>
                <w:color w:val="auto"/>
                <w:szCs w:val="21"/>
              </w:rPr>
            </w:pPr>
            <w:r>
              <w:rPr>
                <w:rFonts w:hint="eastAsia" w:ascii="黑体" w:hAnsi="黑体" w:eastAsia="黑体"/>
                <w:color w:val="auto"/>
                <w:kern w:val="0"/>
                <w:szCs w:val="21"/>
              </w:rPr>
              <w:t>总计</w:t>
            </w:r>
          </w:p>
        </w:tc>
      </w:tr>
      <w:tr w14:paraId="5602B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0C1019E1">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14:paraId="50DB3C03">
            <w:pPr>
              <w:jc w:val="center"/>
              <w:rPr>
                <w:rFonts w:ascii="黑体" w:hAnsi="黑体" w:eastAsia="黑体"/>
                <w:color w:val="auto"/>
                <w:szCs w:val="21"/>
              </w:rPr>
            </w:pPr>
          </w:p>
        </w:tc>
        <w:tc>
          <w:tcPr>
            <w:tcW w:w="567" w:type="dxa"/>
            <w:shd w:val="clear" w:color="auto" w:fill="auto"/>
            <w:tcMar>
              <w:left w:w="108" w:type="dxa"/>
              <w:right w:w="108" w:type="dxa"/>
            </w:tcMar>
            <w:vAlign w:val="center"/>
          </w:tcPr>
          <w:p w14:paraId="751B05F7">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14:paraId="7CA691CC">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14:paraId="4D3BF64B">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14:paraId="6D5661B1">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14:paraId="4B2668D8">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14:paraId="429D24E4">
            <w:pPr>
              <w:jc w:val="center"/>
              <w:rPr>
                <w:rFonts w:ascii="仿宋_GB2312" w:hAnsi="Times New Roman" w:eastAsia="仿宋_GB2312"/>
                <w:color w:val="auto"/>
                <w:szCs w:val="21"/>
              </w:rPr>
            </w:pPr>
          </w:p>
        </w:tc>
      </w:tr>
      <w:tr w14:paraId="68FE3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22FBB79">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829" w:type="dxa"/>
            <w:shd w:val="clear" w:color="auto" w:fill="auto"/>
            <w:tcMar>
              <w:left w:w="108" w:type="dxa"/>
              <w:right w:w="108" w:type="dxa"/>
            </w:tcMar>
            <w:vAlign w:val="center"/>
          </w:tcPr>
          <w:p w14:paraId="78F0EFE6">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67" w:type="dxa"/>
            <w:shd w:val="clear" w:color="auto" w:fill="auto"/>
            <w:tcMar>
              <w:left w:w="108" w:type="dxa"/>
              <w:right w:w="108" w:type="dxa"/>
            </w:tcMar>
            <w:vAlign w:val="center"/>
          </w:tcPr>
          <w:p w14:paraId="1C2D0EA0">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936F115">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2BF9AEEA">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359FCB54">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9C51EB1">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13133116">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14:paraId="12051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4713A97">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14:paraId="54688A48">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1DE93D2">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FB8CE04">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61B6102A">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1A6D4593">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3586322">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2B5B7242">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3367D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FABBE0">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14:paraId="2CF66C0D">
            <w:pPr>
              <w:widowControl/>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14:paraId="6A987E9A">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B31704C">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DBA1A30">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12CCF2E8">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770F1550">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E735EED">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6905A17B">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0A043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1F03F6A">
            <w:pPr>
              <w:rPr>
                <w:rFonts w:ascii="黑体" w:hAnsi="黑体" w:eastAsia="黑体"/>
                <w:color w:val="auto"/>
                <w:szCs w:val="21"/>
              </w:rPr>
            </w:pPr>
          </w:p>
        </w:tc>
        <w:tc>
          <w:tcPr>
            <w:tcW w:w="4677" w:type="dxa"/>
            <w:gridSpan w:val="2"/>
            <w:shd w:val="clear" w:color="auto" w:fill="auto"/>
            <w:tcMar>
              <w:left w:w="108" w:type="dxa"/>
              <w:right w:w="108" w:type="dxa"/>
            </w:tcMar>
            <w:vAlign w:val="center"/>
          </w:tcPr>
          <w:p w14:paraId="275B43BC">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829" w:type="dxa"/>
            <w:shd w:val="clear" w:color="auto" w:fill="auto"/>
            <w:tcMar>
              <w:left w:w="108" w:type="dxa"/>
              <w:right w:w="108" w:type="dxa"/>
            </w:tcMar>
            <w:vAlign w:val="center"/>
          </w:tcPr>
          <w:p w14:paraId="20262B69">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A733EE1">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40F4840">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6B8DC57">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4F9E4C2F">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28CE460">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6CFF5803">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43D11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3CF9814">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700F2527">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14:paraId="40213753">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14:paraId="5703AF35">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7FD33AA">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1AE5805">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2C8FA12F">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3AAB81A9">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2EB6DF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417C68B4">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06DF7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D3CE401">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537FAEE5">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485CC8CC">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829" w:type="dxa"/>
            <w:shd w:val="clear" w:color="auto" w:fill="auto"/>
            <w:tcMar>
              <w:left w:w="108" w:type="dxa"/>
              <w:right w:w="108" w:type="dxa"/>
            </w:tcMar>
            <w:vAlign w:val="center"/>
          </w:tcPr>
          <w:p w14:paraId="74AACFD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629E688">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9E1DBA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379CE5BA">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66CCEF3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C0410A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349DCB77">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7079C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2AD9EFB">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117FF361">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376262CD">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14:paraId="0D6CAEB8">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EF75C90">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694FA17">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4D18478">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050C67AE">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1E6C8BB">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5A96158F">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2E6A5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92B507C">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7535BF56">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788F9CF7">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829" w:type="dxa"/>
            <w:shd w:val="clear" w:color="auto" w:fill="auto"/>
            <w:tcMar>
              <w:left w:w="108" w:type="dxa"/>
              <w:right w:w="108" w:type="dxa"/>
            </w:tcMar>
            <w:vAlign w:val="center"/>
          </w:tcPr>
          <w:p w14:paraId="4B62C6BD">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15509B1">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EDD1A96">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5072645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0859685A">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8C164C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6557A9C5">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2C50B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8A8330">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6E804E47">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1B50C876">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14:paraId="173DBB5E">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A358730">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834ACDE">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055ECB62">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5D30D016">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A9295D3">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5361DD59">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40E48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89A9070">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6AC9ED65">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56B136D3">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829" w:type="dxa"/>
            <w:shd w:val="clear" w:color="auto" w:fill="auto"/>
            <w:tcMar>
              <w:left w:w="108" w:type="dxa"/>
              <w:right w:w="108" w:type="dxa"/>
            </w:tcMar>
            <w:vAlign w:val="center"/>
          </w:tcPr>
          <w:p w14:paraId="2FBB0CB2">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6EAEA4C">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54499C8">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449146D">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7398E167">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535E9C8">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7091541A">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7FC1A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5C6C30">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49FF00C7">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7AD8AF89">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14:paraId="40586554">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6A1E2D1">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148EA4D">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2EB808D2">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6A8A22AF">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9D29C57">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7A220353">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28D09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5C3EE38">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3ABA0091">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0EAA55B7">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829" w:type="dxa"/>
            <w:shd w:val="clear" w:color="auto" w:fill="auto"/>
            <w:tcMar>
              <w:left w:w="108" w:type="dxa"/>
              <w:right w:w="108" w:type="dxa"/>
            </w:tcMar>
            <w:vAlign w:val="center"/>
          </w:tcPr>
          <w:p w14:paraId="574B434E">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7050381">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ACA718D">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05B8AE70">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61941DA6">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127620F">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1133B7D6">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1492DA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948EAB8">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0BAF7C92">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14:paraId="68810946">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14:paraId="77484F7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14:paraId="30709B71">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09695A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7F68F89">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706E0F1F">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416022F">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3216C9E3">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1</w:t>
            </w:r>
          </w:p>
        </w:tc>
      </w:tr>
      <w:tr w14:paraId="760F1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4450CC8">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56629783">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14:paraId="688B86E6">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829" w:type="dxa"/>
            <w:shd w:val="clear" w:color="auto" w:fill="auto"/>
            <w:tcMar>
              <w:left w:w="108" w:type="dxa"/>
              <w:right w:w="108" w:type="dxa"/>
            </w:tcMar>
            <w:vAlign w:val="center"/>
          </w:tcPr>
          <w:p w14:paraId="7B5B450D">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CFFF960">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A3AC45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2804403A">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6B0730AB">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22E7847">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42FDE54D">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0263C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3D5A454">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7BEF94D7">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14:paraId="70124EA0">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829" w:type="dxa"/>
            <w:shd w:val="clear" w:color="auto" w:fill="auto"/>
            <w:tcMar>
              <w:left w:w="108" w:type="dxa"/>
              <w:right w:w="108" w:type="dxa"/>
            </w:tcMar>
            <w:vAlign w:val="center"/>
          </w:tcPr>
          <w:p w14:paraId="04E368BA">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F57EA92">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17586B3">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4A0C0626">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5B2A3256">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E03ABD9">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1A9EE1F0">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3721C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64EFEC6">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4A53B511">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14:paraId="49087E89">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829" w:type="dxa"/>
            <w:shd w:val="clear" w:color="auto" w:fill="auto"/>
            <w:tcMar>
              <w:left w:w="108" w:type="dxa"/>
              <w:right w:w="108" w:type="dxa"/>
            </w:tcMar>
            <w:vAlign w:val="center"/>
          </w:tcPr>
          <w:p w14:paraId="7F2A73C0">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14:paraId="60384728">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E1C10A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477251DC">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16BBF528">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1EDA900">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423F78A0">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1</w:t>
            </w:r>
          </w:p>
        </w:tc>
      </w:tr>
      <w:tr w14:paraId="6B385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1C4A152">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1F86F3BA">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59089A38">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14:paraId="7D2491F6">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630BC07">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EDC0517">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323BAF49">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2BEB56A3">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E32A900">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7710885B">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4CB7D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F637F9C">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0DD58B7A">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21FC62FD">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14:paraId="7ECEE5FD">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67A6E1D">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7E54C79">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3A3C5683">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1767EFED">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AA0990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7F1E5719">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03D976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15D9BA56">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7980A04A">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620E5F1F">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14:paraId="1A885EF5">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2D9C3E8">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3224456">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F02FA34">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12A5BBCC">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85B002C">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223DDA15">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70CCB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948E948">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483A0B09">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3358A9EC">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14:paraId="14FDD233">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14:paraId="6F75F373">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9C283BB">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A1A99AF">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03D5B2D8">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4C0D5919">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DEF8894">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5F9FE75C">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7A60B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FD1E1CC">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052EA5AA">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14:paraId="222F1FBD">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14:paraId="26FE125F">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0B4877A">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F53A14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520B3B1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0321618F">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8EEEF8D">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1A965E9C">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1D374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EAFF0BA">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09C4C28D">
            <w:pPr>
              <w:widowControl/>
              <w:spacing w:line="300" w:lineRule="exact"/>
              <w:rPr>
                <w:rFonts w:ascii="黑体" w:hAnsi="黑体" w:eastAsia="黑体"/>
                <w:color w:val="auto"/>
                <w:kern w:val="0"/>
                <w:szCs w:val="21"/>
              </w:rPr>
            </w:pPr>
          </w:p>
        </w:tc>
        <w:tc>
          <w:tcPr>
            <w:tcW w:w="2976" w:type="dxa"/>
            <w:shd w:val="clear" w:color="auto" w:fill="auto"/>
            <w:vAlign w:val="center"/>
          </w:tcPr>
          <w:p w14:paraId="75D2A522">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507719B4">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EB4C756">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2365354">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24555D3D">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7DBA2510">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3342AC2">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787FED2C">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2D200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DFF8571">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4CF08719">
            <w:pPr>
              <w:widowControl/>
              <w:spacing w:line="300" w:lineRule="exact"/>
              <w:rPr>
                <w:rFonts w:ascii="黑体" w:hAnsi="黑体" w:eastAsia="黑体"/>
                <w:color w:val="auto"/>
                <w:kern w:val="0"/>
                <w:szCs w:val="21"/>
              </w:rPr>
            </w:pPr>
          </w:p>
        </w:tc>
        <w:tc>
          <w:tcPr>
            <w:tcW w:w="2976" w:type="dxa"/>
            <w:shd w:val="clear" w:color="auto" w:fill="auto"/>
            <w:vAlign w:val="center"/>
          </w:tcPr>
          <w:p w14:paraId="0A9B8993">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14:paraId="27C3BE2C">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56E0CB6">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4D5156B">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2DF1326A">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597E7F41">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BFD6C0A">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344074B7">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04BD1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F4E54E4">
            <w:pPr>
              <w:rPr>
                <w:rFonts w:ascii="黑体" w:hAnsi="黑体" w:eastAsia="黑体"/>
                <w:color w:val="auto"/>
                <w:szCs w:val="21"/>
              </w:rPr>
            </w:pPr>
          </w:p>
        </w:tc>
        <w:tc>
          <w:tcPr>
            <w:tcW w:w="4677" w:type="dxa"/>
            <w:gridSpan w:val="2"/>
            <w:shd w:val="clear" w:color="auto" w:fill="auto"/>
            <w:tcMar>
              <w:left w:w="108" w:type="dxa"/>
              <w:right w:w="108" w:type="dxa"/>
            </w:tcMar>
            <w:vAlign w:val="center"/>
          </w:tcPr>
          <w:p w14:paraId="41E12B2C">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14:paraId="049C97B5">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2</w:t>
            </w:r>
          </w:p>
        </w:tc>
        <w:tc>
          <w:tcPr>
            <w:tcW w:w="567" w:type="dxa"/>
            <w:shd w:val="clear" w:color="auto" w:fill="auto"/>
            <w:tcMar>
              <w:left w:w="108" w:type="dxa"/>
              <w:right w:w="108" w:type="dxa"/>
            </w:tcMar>
            <w:vAlign w:val="center"/>
          </w:tcPr>
          <w:p w14:paraId="7BDB2503">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4967B27">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1723FEF5">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6D6CB11D">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8CFE34C">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3C0C7250">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2</w:t>
            </w:r>
          </w:p>
        </w:tc>
      </w:tr>
      <w:tr w14:paraId="5B860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641E143A">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14:paraId="18049FC5">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E156CD5">
            <w:pPr>
              <w:widowControl/>
              <w:spacing w:after="180"/>
              <w:jc w:val="center"/>
              <w:rPr>
                <w:rFonts w:hint="default"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50A3D9E">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4F09ECF8">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05A4A88A">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4AD7510">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438847AE">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bl>
    <w:p w14:paraId="41A76B13">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p w14:paraId="68EF0E85">
      <w:pPr>
        <w:pStyle w:val="5"/>
        <w:spacing w:before="0" w:beforeAutospacing="0" w:after="0" w:afterAutospacing="0" w:line="600" w:lineRule="exact"/>
        <w:ind w:firstLine="480" w:firstLineChars="200"/>
        <w:jc w:val="both"/>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64493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7DDE9FA">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63A34D">
            <w:pPr>
              <w:widowControl/>
              <w:jc w:val="center"/>
              <w:rPr>
                <w:rFonts w:ascii="黑体" w:hAnsi="黑体" w:eastAsia="黑体"/>
                <w:color w:val="auto"/>
              </w:rPr>
            </w:pPr>
            <w:r>
              <w:rPr>
                <w:rFonts w:ascii="黑体" w:hAnsi="黑体" w:eastAsia="黑体"/>
                <w:color w:val="auto"/>
                <w:kern w:val="0"/>
                <w:sz w:val="20"/>
                <w:szCs w:val="20"/>
              </w:rPr>
              <w:t>行政诉讼</w:t>
            </w:r>
          </w:p>
        </w:tc>
      </w:tr>
      <w:tr w14:paraId="181A1C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D72BF8">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14:paraId="11F38D09">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5E2C8B7">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B55BC55">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8493C0">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14:paraId="2F15D94A">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F0DD2F">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14:paraId="4545B295">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9BD7BFE">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9504721">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14:paraId="7C9DE6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C8E93F">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23FB45B">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3ED7A36">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0F9EC6">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77FD2E">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61F7FA93">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2394FF2">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2AD6A6">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14:paraId="26F8954B">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6BF6DB7">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14:paraId="266D4C3A">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6500B1">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860D28A">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5849E6">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14:paraId="00282BF0">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8D0A4C">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14:paraId="7E04E8B2">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FA067C2">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FBD2B40">
            <w:pPr>
              <w:widowControl/>
              <w:jc w:val="center"/>
              <w:rPr>
                <w:rFonts w:ascii="黑体" w:hAnsi="黑体" w:eastAsia="黑体"/>
                <w:color w:val="auto"/>
              </w:rPr>
            </w:pPr>
            <w:r>
              <w:rPr>
                <w:rFonts w:ascii="黑体" w:hAnsi="黑体" w:eastAsia="黑体"/>
                <w:color w:val="auto"/>
                <w:kern w:val="0"/>
                <w:sz w:val="20"/>
                <w:szCs w:val="20"/>
              </w:rPr>
              <w:t>总计</w:t>
            </w:r>
          </w:p>
        </w:tc>
      </w:tr>
      <w:tr w14:paraId="42AC55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FF8C1E">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5ADC3B7E">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E72491D">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4B569D7">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6C32B4D4">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DEFA979">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E760AFE">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AA6343B">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4032D9">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657148E">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9C9DD15">
            <w:pPr>
              <w:widowControl/>
              <w:spacing w:after="180"/>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989F6BF">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F7B09D5">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01C7145D">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578F6475">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14:paraId="5971C15B">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ascii="黑体" w:hAnsi="黑体" w:eastAsia="黑体"/>
          <w:color w:val="auto"/>
          <w:sz w:val="32"/>
          <w:szCs w:val="32"/>
        </w:rPr>
        <w:t>存在的主要问题及改进情况</w:t>
      </w:r>
    </w:p>
    <w:p w14:paraId="4BB2A909">
      <w:pPr>
        <w:ind w:firstLine="643" w:firstLineChars="200"/>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 w:eastAsia="zh-CN"/>
        </w:rPr>
        <w:t>存在问题：</w:t>
      </w:r>
      <w:r>
        <w:rPr>
          <w:rFonts w:hint="eastAsia" w:ascii="仿宋_GB2312" w:eastAsia="仿宋_GB2312"/>
          <w:color w:val="auto"/>
          <w:sz w:val="32"/>
          <w:szCs w:val="32"/>
          <w:lang w:val="en" w:eastAsia="zh-CN"/>
        </w:rPr>
        <w:t>对依申请事项办理的答复规范掌握不够熟练，对不同事项的答复方式不能第一时间作出准确区分。</w:t>
      </w:r>
      <w:r>
        <w:rPr>
          <w:rFonts w:hint="eastAsia" w:ascii="仿宋_GB2312" w:eastAsia="仿宋_GB2312"/>
          <w:color w:val="auto"/>
          <w:sz w:val="32"/>
          <w:szCs w:val="32"/>
          <w:lang w:val="en-US" w:eastAsia="zh-CN"/>
        </w:rPr>
        <w:t xml:space="preserve">  </w:t>
      </w:r>
    </w:p>
    <w:p w14:paraId="4693F3AD">
      <w:pPr>
        <w:ind w:firstLine="643" w:firstLineChars="200"/>
        <w:rPr>
          <w:rFonts w:hint="eastAsia" w:ascii="仿宋_GB2312" w:eastAsia="仿宋_GB2312"/>
          <w:color w:val="auto"/>
          <w:sz w:val="32"/>
          <w:szCs w:val="32"/>
          <w:u w:val="single"/>
          <w:lang w:eastAsia="zh-CN"/>
        </w:rPr>
      </w:pPr>
      <w:r>
        <w:rPr>
          <w:rFonts w:ascii="仿宋_GB2312" w:eastAsia="仿宋_GB2312"/>
          <w:b/>
          <w:bCs/>
          <w:color w:val="auto"/>
          <w:sz w:val="32"/>
          <w:szCs w:val="32"/>
        </w:rPr>
        <w:t>改进情况</w:t>
      </w:r>
      <w:r>
        <w:rPr>
          <w:rFonts w:hint="eastAsia" w:ascii="仿宋_GB2312" w:eastAsia="仿宋_GB2312"/>
          <w:b/>
          <w:bCs/>
          <w:color w:val="auto"/>
          <w:sz w:val="32"/>
          <w:szCs w:val="32"/>
          <w:lang w:eastAsia="zh-CN"/>
        </w:rPr>
        <w:t>：</w:t>
      </w:r>
      <w:r>
        <w:rPr>
          <w:rFonts w:hint="eastAsia" w:ascii="仿宋_GB2312" w:eastAsia="仿宋_GB2312"/>
          <w:color w:val="auto"/>
          <w:sz w:val="32"/>
          <w:szCs w:val="32"/>
          <w:lang w:val="en" w:eastAsia="zh-CN"/>
        </w:rPr>
        <w:t>对依申请事项办理的答复规范进行专门培训，逐项进行详细解释说明，对答复模板中理解不到位的及时向业务主管部门区政府办公室咨询请教，目前，对依申请公开事项能够准确区分情况，熟练规范进行答复</w:t>
      </w:r>
      <w:r>
        <w:rPr>
          <w:rFonts w:ascii="仿宋_GB2312" w:eastAsia="仿宋_GB2312"/>
          <w:color w:val="auto"/>
          <w:sz w:val="32"/>
          <w:szCs w:val="32"/>
        </w:rPr>
        <w:t>。</w:t>
      </w:r>
    </w:p>
    <w:p w14:paraId="7F2A2B55">
      <w:pPr>
        <w:pStyle w:val="5"/>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14:paraId="28821A75">
      <w:pPr>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年度，根据《政府信息公开信息处理费管理办法》，区信访局未收取信息处理费。</w:t>
      </w:r>
    </w:p>
    <w:p w14:paraId="7915142C">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lang w:eastAsia="zh-CN"/>
        </w:rPr>
        <w:t>区信访局</w:t>
      </w:r>
      <w:r>
        <w:rPr>
          <w:rFonts w:ascii="仿宋_GB2312" w:eastAsia="仿宋_GB2312"/>
          <w:color w:val="auto"/>
          <w:sz w:val="32"/>
          <w:szCs w:val="32"/>
        </w:rPr>
        <w:t>落实上级年度政务公开工作要点情况</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2024</w:t>
      </w:r>
      <w:r>
        <w:rPr>
          <w:rFonts w:hint="eastAsia" w:ascii="仿宋_GB2312" w:eastAsia="仿宋_GB2312"/>
          <w:color w:val="auto"/>
          <w:sz w:val="32"/>
          <w:szCs w:val="32"/>
          <w:lang w:eastAsia="zh-CN"/>
        </w:rPr>
        <w:t>年度，区信访局</w:t>
      </w:r>
      <w:r>
        <w:rPr>
          <w:rFonts w:ascii="仿宋_GB2312" w:hAnsi="仿宋_GB2312" w:eastAsia="仿宋_GB2312" w:cs="仿宋_GB2312"/>
          <w:i w:val="0"/>
          <w:iCs w:val="0"/>
          <w:caps w:val="0"/>
          <w:color w:val="auto"/>
          <w:spacing w:val="0"/>
          <w:sz w:val="31"/>
          <w:szCs w:val="31"/>
        </w:rPr>
        <w:t>认真贯彻落实《中华人民共和国政府信息公开条例》</w:t>
      </w:r>
      <w:r>
        <w:rPr>
          <w:rFonts w:hint="eastAsia" w:ascii="仿宋_GB2312" w:hAnsi="仿宋_GB2312" w:eastAsia="仿宋_GB2312" w:cs="仿宋_GB2312"/>
          <w:i w:val="0"/>
          <w:iCs w:val="0"/>
          <w:caps w:val="0"/>
          <w:color w:val="auto"/>
          <w:spacing w:val="0"/>
          <w:sz w:val="31"/>
          <w:szCs w:val="31"/>
          <w:lang w:eastAsia="zh-CN"/>
        </w:rPr>
        <w:t>以及</w:t>
      </w:r>
      <w:r>
        <w:rPr>
          <w:rFonts w:hint="eastAsia" w:ascii="仿宋_GB2312" w:hAnsi="仿宋_GB2312" w:eastAsia="仿宋_GB2312" w:cs="仿宋_GB2312"/>
          <w:i w:val="0"/>
          <w:iCs w:val="0"/>
          <w:caps w:val="0"/>
          <w:color w:val="auto"/>
          <w:spacing w:val="0"/>
          <w:sz w:val="31"/>
          <w:szCs w:val="31"/>
        </w:rPr>
        <w:t>上级年度政务公开工作要点</w:t>
      </w:r>
      <w:r>
        <w:rPr>
          <w:rFonts w:hint="eastAsia" w:ascii="仿宋_GB2312" w:hAnsi="仿宋_GB2312" w:eastAsia="仿宋_GB2312" w:cs="仿宋_GB2312"/>
          <w:i w:val="0"/>
          <w:iCs w:val="0"/>
          <w:caps w:val="0"/>
          <w:color w:val="auto"/>
          <w:spacing w:val="0"/>
          <w:sz w:val="31"/>
          <w:szCs w:val="31"/>
          <w:lang w:eastAsia="zh-CN"/>
        </w:rPr>
        <w:t>，</w:t>
      </w:r>
      <w:r>
        <w:rPr>
          <w:rFonts w:ascii="仿宋_GB2312" w:hAnsi="仿宋_GB2312" w:eastAsia="仿宋_GB2312" w:cs="仿宋_GB2312"/>
          <w:i w:val="0"/>
          <w:iCs w:val="0"/>
          <w:caps w:val="0"/>
          <w:color w:val="auto"/>
          <w:spacing w:val="0"/>
          <w:sz w:val="31"/>
          <w:szCs w:val="31"/>
        </w:rPr>
        <w:t>积极</w:t>
      </w:r>
      <w:r>
        <w:rPr>
          <w:rFonts w:hint="eastAsia" w:ascii="仿宋_GB2312" w:hAnsi="仿宋_GB2312" w:eastAsia="仿宋_GB2312" w:cs="仿宋_GB2312"/>
          <w:i w:val="0"/>
          <w:iCs w:val="0"/>
          <w:caps w:val="0"/>
          <w:color w:val="auto"/>
          <w:spacing w:val="0"/>
          <w:sz w:val="31"/>
          <w:szCs w:val="31"/>
          <w:lang w:eastAsia="zh-CN"/>
        </w:rPr>
        <w:t>稳妥</w:t>
      </w:r>
      <w:r>
        <w:rPr>
          <w:rFonts w:ascii="仿宋_GB2312" w:hAnsi="仿宋_GB2312" w:eastAsia="仿宋_GB2312" w:cs="仿宋_GB2312"/>
          <w:i w:val="0"/>
          <w:iCs w:val="0"/>
          <w:caps w:val="0"/>
          <w:color w:val="auto"/>
          <w:spacing w:val="0"/>
          <w:sz w:val="31"/>
          <w:szCs w:val="31"/>
        </w:rPr>
        <w:t>地开展政府信息公开工作，</w:t>
      </w:r>
      <w:r>
        <w:rPr>
          <w:rFonts w:hint="eastAsia" w:ascii="仿宋_GB2312" w:hAnsi="仿宋_GB2312" w:eastAsia="仿宋_GB2312" w:cs="仿宋_GB2312"/>
          <w:i w:val="0"/>
          <w:iCs w:val="0"/>
          <w:caps w:val="0"/>
          <w:color w:val="auto"/>
          <w:spacing w:val="0"/>
          <w:sz w:val="31"/>
          <w:szCs w:val="31"/>
          <w:lang w:eastAsia="zh-CN"/>
        </w:rPr>
        <w:t>保证</w:t>
      </w:r>
      <w:r>
        <w:rPr>
          <w:rFonts w:ascii="仿宋_GB2312" w:hAnsi="仿宋_GB2312" w:eastAsia="仿宋_GB2312" w:cs="仿宋_GB2312"/>
          <w:i w:val="0"/>
          <w:iCs w:val="0"/>
          <w:caps w:val="0"/>
          <w:color w:val="auto"/>
          <w:spacing w:val="0"/>
          <w:sz w:val="31"/>
          <w:szCs w:val="31"/>
        </w:rPr>
        <w:t>了政府信息公开工作依法、及时、准确、有序地开展。</w:t>
      </w:r>
      <w:r>
        <w:rPr>
          <w:rFonts w:hint="eastAsia" w:ascii="仿宋_GB2312" w:eastAsia="仿宋_GB2312"/>
          <w:color w:val="auto"/>
          <w:sz w:val="32"/>
          <w:szCs w:val="32"/>
          <w:lang w:eastAsia="zh-CN"/>
        </w:rPr>
        <w:t>一是主动进行</w:t>
      </w:r>
      <w:r>
        <w:rPr>
          <w:rFonts w:hint="eastAsia" w:ascii="仿宋_GB2312" w:eastAsia="仿宋_GB2312"/>
          <w:color w:val="auto"/>
          <w:sz w:val="32"/>
          <w:szCs w:val="32"/>
        </w:rPr>
        <w:t>公开</w:t>
      </w:r>
      <w:r>
        <w:rPr>
          <w:rFonts w:hint="eastAsia" w:ascii="仿宋_GB2312" w:eastAsia="仿宋_GB2312"/>
          <w:color w:val="auto"/>
          <w:sz w:val="32"/>
          <w:szCs w:val="32"/>
          <w:lang w:eastAsia="zh-CN"/>
        </w:rPr>
        <w:t>。按照政府信息公开工作要求，及时主动公开政府信息，确保该公开的全部公开到位，不该公开的坚决防止失泄密问题发生</w:t>
      </w:r>
      <w:r>
        <w:rPr>
          <w:rFonts w:hint="eastAsia" w:ascii="仿宋_GB2312" w:eastAsia="仿宋_GB2312"/>
          <w:color w:val="auto"/>
          <w:sz w:val="32"/>
          <w:szCs w:val="32"/>
        </w:rPr>
        <w:t>。</w:t>
      </w:r>
      <w:r>
        <w:rPr>
          <w:rFonts w:hint="eastAsia" w:ascii="仿宋_GB2312" w:eastAsia="仿宋_GB2312"/>
          <w:color w:val="auto"/>
          <w:sz w:val="32"/>
          <w:szCs w:val="32"/>
          <w:lang w:eastAsia="zh-CN"/>
        </w:rPr>
        <w:t>二是</w:t>
      </w:r>
      <w:r>
        <w:rPr>
          <w:rFonts w:hint="eastAsia" w:ascii="仿宋_GB2312" w:eastAsia="仿宋_GB2312"/>
          <w:color w:val="auto"/>
          <w:sz w:val="32"/>
          <w:szCs w:val="32"/>
        </w:rPr>
        <w:t>积极回应关切</w:t>
      </w:r>
      <w:r>
        <w:rPr>
          <w:rFonts w:hint="eastAsia" w:ascii="仿宋_GB2312" w:eastAsia="仿宋_GB2312"/>
          <w:color w:val="auto"/>
          <w:sz w:val="32"/>
          <w:szCs w:val="32"/>
          <w:lang w:eastAsia="zh-CN"/>
        </w:rPr>
        <w:t>。</w:t>
      </w:r>
      <w:r>
        <w:rPr>
          <w:rFonts w:hint="eastAsia" w:ascii="仿宋_GB2312" w:eastAsia="仿宋_GB2312"/>
          <w:color w:val="auto"/>
          <w:sz w:val="32"/>
          <w:szCs w:val="32"/>
        </w:rPr>
        <w:t>充分运用政府信息公开申请等渠道</w:t>
      </w:r>
      <w:r>
        <w:rPr>
          <w:rFonts w:hint="eastAsia" w:ascii="仿宋_GB2312" w:eastAsia="仿宋_GB2312"/>
          <w:color w:val="auto"/>
          <w:sz w:val="32"/>
          <w:szCs w:val="32"/>
          <w:lang w:eastAsia="zh-CN"/>
        </w:rPr>
        <w:t>收集群众诉求，依法规范作出回应，切实提高答复质量，维护群众合法权益</w:t>
      </w:r>
      <w:r>
        <w:rPr>
          <w:rFonts w:hint="eastAsia" w:ascii="仿宋_GB2312" w:eastAsia="仿宋_GB2312"/>
          <w:color w:val="auto"/>
          <w:sz w:val="32"/>
          <w:szCs w:val="32"/>
        </w:rPr>
        <w:t>。</w:t>
      </w:r>
      <w:r>
        <w:rPr>
          <w:rFonts w:hint="eastAsia" w:ascii="仿宋_GB2312" w:eastAsia="仿宋_GB2312"/>
          <w:color w:val="auto"/>
          <w:sz w:val="32"/>
          <w:szCs w:val="32"/>
          <w:lang w:eastAsia="zh-CN"/>
        </w:rPr>
        <w:t>三是强化组织保障。局政务公开工作领导小组统筹推进局政务公开工作，及时研究解决工作中遇到的问题。定期组织开展业务培训，进一步提升标准化规范化水平。</w:t>
      </w:r>
    </w:p>
    <w:p w14:paraId="146F73B4">
      <w:pPr>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lang w:val="en-US" w:eastAsia="zh-CN"/>
        </w:rPr>
        <w:t>2024</w:t>
      </w:r>
      <w:r>
        <w:rPr>
          <w:rFonts w:hint="eastAsia" w:ascii="仿宋_GB2312" w:eastAsia="仿宋_GB2312"/>
          <w:color w:val="auto"/>
          <w:sz w:val="32"/>
          <w:szCs w:val="32"/>
          <w:lang w:eastAsia="zh-CN"/>
        </w:rPr>
        <w:t>年度，区信访局收到、办理</w:t>
      </w:r>
      <w:r>
        <w:rPr>
          <w:rFonts w:hint="eastAsia" w:ascii="仿宋_GB2312" w:eastAsia="仿宋_GB2312"/>
          <w:color w:val="auto"/>
          <w:sz w:val="32"/>
          <w:szCs w:val="32"/>
        </w:rPr>
        <w:t>人大代表建议和政协提案</w:t>
      </w:r>
      <w:r>
        <w:rPr>
          <w:rFonts w:hint="eastAsia" w:ascii="仿宋_GB2312" w:eastAsia="仿宋_GB2312"/>
          <w:color w:val="auto"/>
          <w:sz w:val="32"/>
          <w:szCs w:val="32"/>
          <w:lang w:val="en-US" w:eastAsia="zh-CN"/>
        </w:rPr>
        <w:t>0条</w:t>
      </w:r>
      <w:r>
        <w:rPr>
          <w:rFonts w:hint="eastAsia" w:ascii="仿宋_GB2312" w:eastAsia="仿宋_GB2312"/>
          <w:color w:val="auto"/>
          <w:sz w:val="32"/>
          <w:szCs w:val="32"/>
          <w:lang w:eastAsia="zh-CN"/>
        </w:rPr>
        <w:t>。</w:t>
      </w:r>
    </w:p>
    <w:p w14:paraId="40DC32A4">
      <w:pPr>
        <w:numPr>
          <w:ilvl w:val="0"/>
          <w:numId w:val="0"/>
        </w:num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4.区信访局</w:t>
      </w:r>
      <w:r>
        <w:rPr>
          <w:rFonts w:hint="eastAsia" w:ascii="仿宋_GB2312" w:eastAsia="仿宋_GB2312"/>
          <w:color w:val="auto"/>
          <w:sz w:val="32"/>
          <w:szCs w:val="32"/>
          <w:lang w:eastAsia="zh-CN"/>
        </w:rPr>
        <w:t>年度政务公开工作创新情况：</w:t>
      </w:r>
    </w:p>
    <w:p w14:paraId="4BEE555C">
      <w:pPr>
        <w:numPr>
          <w:ilvl w:val="0"/>
          <w:numId w:val="0"/>
        </w:num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2024年度</w:t>
      </w:r>
      <w:r>
        <w:rPr>
          <w:rFonts w:hint="eastAsia" w:ascii="仿宋_GB2312" w:eastAsia="仿宋_GB2312"/>
          <w:color w:val="auto"/>
          <w:sz w:val="32"/>
          <w:szCs w:val="32"/>
          <w:lang w:eastAsia="zh-CN"/>
        </w:rPr>
        <w:t>，区信访局注重发挥以公开促服务、促落实、促规范的作用，立足“为民解难</w:t>
      </w:r>
      <w:r>
        <w:rPr>
          <w:rFonts w:hint="eastAsia" w:ascii="仿宋_GB2312" w:eastAsia="仿宋_GB2312"/>
          <w:color w:val="auto"/>
          <w:sz w:val="32"/>
          <w:szCs w:val="32"/>
          <w:lang w:val="en-US" w:eastAsia="zh-CN"/>
        </w:rPr>
        <w:t xml:space="preserve"> 为党分忧</w:t>
      </w:r>
      <w:r>
        <w:rPr>
          <w:rFonts w:hint="eastAsia" w:ascii="仿宋_GB2312" w:eastAsia="仿宋_GB2312"/>
          <w:color w:val="auto"/>
          <w:sz w:val="32"/>
          <w:szCs w:val="32"/>
          <w:lang w:eastAsia="zh-CN"/>
        </w:rPr>
        <w:t>”职责使命，以群众需求为导向，将政务公开与基层信访治理有机融合，把政务公开融入日常接访办信全过程，进一步提升了工作的透明度，提升了政府公信力。</w:t>
      </w:r>
    </w:p>
    <w:p w14:paraId="066FA6A6">
      <w:pPr>
        <w:ind w:firstLine="640" w:firstLineChars="200"/>
        <w:rPr>
          <w:rFonts w:ascii="仿宋_GB2312" w:eastAsia="仿宋_GB2312"/>
          <w:color w:val="auto"/>
          <w:sz w:val="32"/>
          <w:szCs w:val="32"/>
        </w:rPr>
      </w:pPr>
    </w:p>
    <w:bookmarkEnd w:id="10"/>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BF57D">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14:paraId="4D678DE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FB"/>
    <w:rsid w:val="003F5380"/>
    <w:rsid w:val="005F04B3"/>
    <w:rsid w:val="007043DD"/>
    <w:rsid w:val="00725311"/>
    <w:rsid w:val="007C0E41"/>
    <w:rsid w:val="008260F2"/>
    <w:rsid w:val="008510D4"/>
    <w:rsid w:val="008E79FC"/>
    <w:rsid w:val="009036FB"/>
    <w:rsid w:val="00A6635A"/>
    <w:rsid w:val="00A935C0"/>
    <w:rsid w:val="04624A99"/>
    <w:rsid w:val="04661011"/>
    <w:rsid w:val="04BD1BA7"/>
    <w:rsid w:val="05E1342D"/>
    <w:rsid w:val="0BE44893"/>
    <w:rsid w:val="0C197EFD"/>
    <w:rsid w:val="0C886EAB"/>
    <w:rsid w:val="118F7958"/>
    <w:rsid w:val="153C0E2B"/>
    <w:rsid w:val="17600C4E"/>
    <w:rsid w:val="1839266E"/>
    <w:rsid w:val="1EFF5361"/>
    <w:rsid w:val="20315E0F"/>
    <w:rsid w:val="20792A83"/>
    <w:rsid w:val="21537630"/>
    <w:rsid w:val="22DD1D5E"/>
    <w:rsid w:val="283D0195"/>
    <w:rsid w:val="2D126E0D"/>
    <w:rsid w:val="2ED9699B"/>
    <w:rsid w:val="31473E7A"/>
    <w:rsid w:val="318E1295"/>
    <w:rsid w:val="35FB0A24"/>
    <w:rsid w:val="364F21ED"/>
    <w:rsid w:val="372142C2"/>
    <w:rsid w:val="388A4CBC"/>
    <w:rsid w:val="3996FF5C"/>
    <w:rsid w:val="3BF75330"/>
    <w:rsid w:val="3E38770A"/>
    <w:rsid w:val="3FF605CD"/>
    <w:rsid w:val="43D4741D"/>
    <w:rsid w:val="443F0133"/>
    <w:rsid w:val="468B3F91"/>
    <w:rsid w:val="477A156E"/>
    <w:rsid w:val="4E2F67D9"/>
    <w:rsid w:val="4FFBAE8B"/>
    <w:rsid w:val="50CD4459"/>
    <w:rsid w:val="540366B0"/>
    <w:rsid w:val="59186333"/>
    <w:rsid w:val="5EEDC3F8"/>
    <w:rsid w:val="60DA1397"/>
    <w:rsid w:val="635D0996"/>
    <w:rsid w:val="65485E52"/>
    <w:rsid w:val="65FF0DA3"/>
    <w:rsid w:val="671F2A18"/>
    <w:rsid w:val="67F3717A"/>
    <w:rsid w:val="6D876F5F"/>
    <w:rsid w:val="756D3CB7"/>
    <w:rsid w:val="76DDF9C0"/>
    <w:rsid w:val="77B81EDB"/>
    <w:rsid w:val="7A387F61"/>
    <w:rsid w:val="7AF79EE2"/>
    <w:rsid w:val="7DBF1E11"/>
    <w:rsid w:val="7E5C8C4E"/>
    <w:rsid w:val="7F3F70A9"/>
    <w:rsid w:val="7F7F0ED8"/>
    <w:rsid w:val="7FFEDE2F"/>
    <w:rsid w:val="8FBBAD1D"/>
    <w:rsid w:val="ABDE8AB7"/>
    <w:rsid w:val="AFDF7F58"/>
    <w:rsid w:val="BC375350"/>
    <w:rsid w:val="C7FF8C14"/>
    <w:rsid w:val="DEFFB33B"/>
    <w:rsid w:val="EF5EF59E"/>
    <w:rsid w:val="EFBD352D"/>
    <w:rsid w:val="F77C5607"/>
    <w:rsid w:val="F79062E2"/>
    <w:rsid w:val="FBFFC10F"/>
    <w:rsid w:val="FDF7C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6</Pages>
  <Words>2607</Words>
  <Characters>2673</Characters>
  <Lines>30</Lines>
  <Paragraphs>8</Paragraphs>
  <TotalTime>15</TotalTime>
  <ScaleCrop>false</ScaleCrop>
  <LinksUpToDate>false</LinksUpToDate>
  <CharactersWithSpaces>2690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2020-01-10T10:42:00Z</dcterms:created>
  <dc:creator>Administrator</dc:creator>
  <cp:lastModifiedBy>Administrator</cp:lastModifiedBy>
  <cp:lastPrinted>2025-01-09T06:20:34Z</cp:lastPrinted>
  <dcterms:modified xsi:type="dcterms:W3CDTF">2025-01-09T06:27:20Z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14A73EAFCF6A4445BBC6C567EB8812CC_13</vt:lpwstr>
  </property>
  <property fmtid="{D5CDD505-2E9C-101B-9397-08002B2CF9AE}" pid="4" name="KSOTemplateDocerSaveRecord">
    <vt:lpwstr>eyJoZGlkIjoiNDdkYTM1OWNmZGZhNTVkNTdmNGIyYmEzYjJlNGQwZDYifQ==</vt:lpwstr>
  </property>
</Properties>
</file>