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hint="eastAsia" w:ascii="Times New Roman" w:hAnsi="Times New Roman" w:eastAsia="方正小标宋简体"/>
          <w:color w:val="auto"/>
          <w:spacing w:val="10"/>
          <w:sz w:val="44"/>
          <w:szCs w:val="44"/>
          <w:lang w:eastAsia="zh-CN"/>
        </w:rPr>
      </w:pPr>
      <w:r>
        <w:rPr>
          <w:rFonts w:hint="eastAsia" w:ascii="Times New Roman" w:hAnsi="Times New Roman" w:eastAsia="方正小标宋简体"/>
          <w:color w:val="auto"/>
          <w:spacing w:val="10"/>
          <w:sz w:val="44"/>
          <w:szCs w:val="44"/>
          <w:lang w:eastAsia="zh-CN"/>
        </w:rPr>
        <w:t>山东泰山经济开发区管理委员会</w:t>
      </w:r>
    </w:p>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center"/>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eastAsia="仿宋_GB2312"/>
          <w:color w:val="auto"/>
          <w:sz w:val="32"/>
          <w:szCs w:val="32"/>
        </w:rPr>
        <w:t> </w:t>
      </w:r>
      <w:r>
        <w:rPr>
          <w:rFonts w:hint="eastAsia" w:ascii="仿宋_GB2312" w:hAnsi="仿宋_GB2312" w:eastAsia="仿宋_GB2312" w:cs="仿宋_GB2312"/>
          <w:color w:val="auto"/>
          <w:sz w:val="32"/>
          <w:szCs w:val="32"/>
        </w:rPr>
        <w:t>根据《中华人民共和国政府信息公开条例》特向社会公布202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年本机关政府信息公开工作年度报告。</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内容包括总体情况、主动公开政府信息情况、收到和处理政府信息公开申请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情况、因政府信息公开工作被申请行政复议、提起行政诉讼的情况；政府信息公开工作存在的主要问题及改进情况；其他需要报告的事项等六个部分。报告中所列数据的统计期限自202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年1月1日起至202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年12月31日止。</w:t>
      </w:r>
    </w:p>
    <w:p>
      <w:pPr>
        <w:pStyle w:val="5"/>
        <w:spacing w:before="0" w:beforeAutospacing="0" w:after="0" w:afterAutospacing="0" w:line="600" w:lineRule="exact"/>
        <w:ind w:firstLine="643" w:firstLineChars="200"/>
        <w:jc w:val="both"/>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一、总体情况</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bidi="ar-SA"/>
        </w:rPr>
      </w:pPr>
      <w:r>
        <w:rPr>
          <w:rFonts w:hint="eastAsia" w:ascii="仿宋_GB2312" w:hAnsi="仿宋_GB2312" w:eastAsia="仿宋_GB2312" w:cs="仿宋_GB2312"/>
          <w:color w:val="000000" w:themeColor="text1"/>
          <w:sz w:val="32"/>
          <w:szCs w:val="32"/>
          <w:lang w:bidi="ar-SA"/>
        </w:rPr>
        <w:t>202</w:t>
      </w:r>
      <w:r>
        <w:rPr>
          <w:rFonts w:hint="eastAsia" w:ascii="仿宋_GB2312" w:hAnsi="仿宋_GB2312" w:eastAsia="仿宋_GB2312" w:cs="仿宋_GB2312"/>
          <w:color w:val="000000" w:themeColor="text1"/>
          <w:sz w:val="32"/>
          <w:szCs w:val="32"/>
          <w:lang w:val="en-US" w:eastAsia="zh-CN" w:bidi="ar-SA"/>
        </w:rPr>
        <w:t>3</w:t>
      </w:r>
      <w:r>
        <w:rPr>
          <w:rFonts w:hint="eastAsia" w:ascii="仿宋_GB2312" w:hAnsi="仿宋_GB2312" w:eastAsia="仿宋_GB2312" w:cs="仿宋_GB2312"/>
          <w:color w:val="000000" w:themeColor="text1"/>
          <w:sz w:val="32"/>
          <w:szCs w:val="32"/>
          <w:lang w:bidi="ar-SA"/>
        </w:rPr>
        <w:t>年，</w:t>
      </w:r>
      <w:r>
        <w:rPr>
          <w:rFonts w:hint="eastAsia" w:ascii="仿宋_GB2312" w:hAnsi="仿宋_GB2312" w:eastAsia="仿宋_GB2312" w:cs="仿宋_GB2312"/>
          <w:color w:val="000000" w:themeColor="text1"/>
          <w:sz w:val="32"/>
          <w:szCs w:val="32"/>
          <w:lang w:eastAsia="zh-CN" w:bidi="ar-SA"/>
        </w:rPr>
        <w:t>在区委、区政府的正确领导下，泰山经济开发区</w:t>
      </w:r>
      <w:r>
        <w:rPr>
          <w:rFonts w:hint="eastAsia" w:ascii="仿宋_GB2312" w:hAnsi="仿宋_GB2312" w:eastAsia="仿宋_GB2312" w:cs="仿宋_GB2312"/>
          <w:color w:val="000000" w:themeColor="text1"/>
          <w:sz w:val="32"/>
          <w:szCs w:val="32"/>
          <w:lang w:bidi="ar-SA"/>
        </w:rPr>
        <w:t>认真贯彻落实《中华人民共和国政府信息公开条例》和《国务院办公厅政府信息与政务公开办公室关于印发</w:t>
      </w:r>
      <w:r>
        <w:rPr>
          <w:rFonts w:hint="eastAsia" w:ascii="仿宋_GB2312" w:hAnsi="仿宋_GB2312" w:eastAsia="仿宋_GB2312" w:cs="仿宋_GB2312"/>
          <w:color w:val="000000" w:themeColor="text1"/>
          <w:sz w:val="32"/>
          <w:szCs w:val="32"/>
          <w:lang w:eastAsia="zh-CN" w:bidi="ar-SA"/>
        </w:rPr>
        <w:t>〈</w:t>
      </w:r>
      <w:r>
        <w:rPr>
          <w:rFonts w:hint="eastAsia" w:ascii="仿宋_GB2312" w:hAnsi="仿宋_GB2312" w:eastAsia="仿宋_GB2312" w:cs="仿宋_GB2312"/>
          <w:color w:val="000000" w:themeColor="text1"/>
          <w:sz w:val="32"/>
          <w:szCs w:val="32"/>
          <w:lang w:bidi="ar-SA"/>
        </w:rPr>
        <w:t>中华人民共和国政府信息公开工作年度报告格式</w:t>
      </w:r>
      <w:r>
        <w:rPr>
          <w:rFonts w:hint="eastAsia" w:ascii="仿宋_GB2312" w:hAnsi="仿宋_GB2312" w:eastAsia="仿宋_GB2312" w:cs="仿宋_GB2312"/>
          <w:color w:val="000000" w:themeColor="text1"/>
          <w:sz w:val="32"/>
          <w:szCs w:val="32"/>
          <w:lang w:eastAsia="zh-CN" w:bidi="ar-SA"/>
        </w:rPr>
        <w:t>〉</w:t>
      </w:r>
      <w:r>
        <w:rPr>
          <w:rFonts w:hint="eastAsia" w:ascii="仿宋_GB2312" w:hAnsi="仿宋_GB2312" w:eastAsia="仿宋_GB2312" w:cs="仿宋_GB2312"/>
          <w:color w:val="000000" w:themeColor="text1"/>
          <w:sz w:val="32"/>
          <w:szCs w:val="32"/>
          <w:lang w:bidi="ar-SA"/>
        </w:rPr>
        <w:t>的通知》（国办公开办函〔2021〕30号）有关规定和要求，积极推进政府信息公开各项工作，</w:t>
      </w:r>
      <w:r>
        <w:rPr>
          <w:rFonts w:hint="eastAsia" w:ascii="仿宋_GB2312" w:hAnsi="仿宋_GB2312" w:eastAsia="仿宋_GB2312" w:cs="仿宋_GB2312"/>
          <w:color w:val="000000" w:themeColor="text1"/>
          <w:sz w:val="32"/>
          <w:szCs w:val="32"/>
          <w:lang w:eastAsia="zh-CN" w:bidi="ar-SA"/>
        </w:rPr>
        <w:t>政府信息公开工作得到平稳、有序推进，工作机制不断完善，公开内容不断深化，服务水平不断提高，</w:t>
      </w:r>
      <w:r>
        <w:rPr>
          <w:rFonts w:hint="eastAsia" w:ascii="仿宋_GB2312" w:hAnsi="仿宋_GB2312" w:eastAsia="仿宋_GB2312" w:cs="仿宋_GB2312"/>
          <w:color w:val="000000" w:themeColor="text1"/>
          <w:sz w:val="32"/>
          <w:szCs w:val="32"/>
          <w:lang w:bidi="ar-SA"/>
        </w:rPr>
        <w:t>政务环境</w:t>
      </w:r>
      <w:r>
        <w:rPr>
          <w:rFonts w:hint="eastAsia" w:ascii="仿宋_GB2312" w:hAnsi="仿宋_GB2312" w:eastAsia="仿宋_GB2312" w:cs="仿宋_GB2312"/>
          <w:color w:val="000000" w:themeColor="text1"/>
          <w:sz w:val="32"/>
          <w:szCs w:val="32"/>
          <w:lang w:eastAsia="zh-CN" w:bidi="ar-SA"/>
        </w:rPr>
        <w:t>不断优化，有效保障了企业、群众的知情权、参与权和监督权</w:t>
      </w:r>
      <w:r>
        <w:rPr>
          <w:rFonts w:hint="eastAsia" w:ascii="仿宋_GB2312" w:hAnsi="仿宋_GB2312" w:eastAsia="仿宋_GB2312" w:cs="仿宋_GB2312"/>
          <w:color w:val="000000" w:themeColor="text1"/>
          <w:sz w:val="32"/>
          <w:szCs w:val="32"/>
          <w:lang w:bidi="ar-SA"/>
        </w:rPr>
        <w:t>。现将有关情况报告如下：</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主动公开</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开发区高度重视政府信息公开工作，深入贯彻落实上级部门关于政府信息公开工作的有关文件精神和工作部署，紧紧围绕工作重点，做好工作部署，主动公布项目建设、政府采购、政府工作报告、民生实事等各类信息，努力提高政府信息公开工作的质量和水平，202</w:t>
      </w:r>
      <w:r>
        <w:rPr>
          <w:rFonts w:hint="eastAsia" w:ascii="仿宋_GB2312" w:hAnsi="仿宋_GB2312" w:eastAsia="仿宋_GB2312" w:cs="仿宋_GB2312"/>
          <w:color w:val="auto"/>
          <w:sz w:val="32"/>
          <w:szCs w:val="32"/>
          <w:lang w:val="en-US" w:eastAsia="zh-CN" w:bidi="ar-SA"/>
        </w:rPr>
        <w:t>3</w:t>
      </w:r>
      <w:r>
        <w:rPr>
          <w:rFonts w:hint="eastAsia" w:ascii="仿宋_GB2312" w:hAnsi="仿宋_GB2312" w:eastAsia="仿宋_GB2312" w:cs="仿宋_GB2312"/>
          <w:color w:val="auto"/>
          <w:sz w:val="32"/>
          <w:szCs w:val="32"/>
          <w:lang w:bidi="ar-SA"/>
        </w:rPr>
        <w:t>年，开发区在人民政府网站共计公开各类政府信息</w:t>
      </w:r>
      <w:r>
        <w:rPr>
          <w:rFonts w:hint="eastAsia" w:ascii="仿宋_GB2312" w:hAnsi="仿宋_GB2312" w:eastAsia="仿宋_GB2312" w:cs="仿宋_GB2312"/>
          <w:color w:val="auto"/>
          <w:sz w:val="32"/>
          <w:szCs w:val="32"/>
          <w:lang w:val="en-US" w:eastAsia="zh-CN" w:bidi="ar-SA"/>
        </w:rPr>
        <w:t>133</w:t>
      </w:r>
      <w:r>
        <w:rPr>
          <w:rFonts w:hint="eastAsia" w:ascii="仿宋_GB2312" w:hAnsi="仿宋_GB2312" w:eastAsia="仿宋_GB2312" w:cs="仿宋_GB2312"/>
          <w:color w:val="auto"/>
          <w:sz w:val="32"/>
          <w:szCs w:val="32"/>
          <w:lang w:bidi="ar-SA"/>
        </w:rPr>
        <w:t>条。</w:t>
      </w:r>
    </w:p>
    <w:p>
      <w:pPr>
        <w:pStyle w:val="5"/>
        <w:numPr>
          <w:ilvl w:val="0"/>
          <w:numId w:val="0"/>
        </w:numPr>
        <w:spacing w:before="0" w:beforeAutospacing="0" w:after="0" w:afterAutospacing="0" w:line="600" w:lineRule="exact"/>
        <w:ind w:right="0" w:rightChars="0" w:firstLine="643" w:firstLineChars="20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依申请公开</w:t>
      </w:r>
    </w:p>
    <w:p>
      <w:pPr>
        <w:pStyle w:val="5"/>
        <w:numPr>
          <w:ilvl w:val="0"/>
          <w:numId w:val="0"/>
        </w:numPr>
        <w:spacing w:before="0" w:beforeAutospacing="0" w:after="0" w:afterAutospacing="0" w:line="600" w:lineRule="exact"/>
        <w:ind w:right="0" w:rightChars="0" w:firstLine="640" w:firstLineChars="200"/>
        <w:jc w:val="both"/>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bidi="ar-SA"/>
        </w:rPr>
        <w:t>本年度未收到任何要求公开政府信息的申请</w:t>
      </w:r>
      <w:r>
        <w:rPr>
          <w:rFonts w:hint="eastAsia" w:ascii="仿宋_GB2312" w:hAnsi="仿宋_GB2312" w:eastAsia="仿宋_GB2312" w:cs="仿宋_GB2312"/>
          <w:color w:val="auto"/>
          <w:sz w:val="32"/>
          <w:szCs w:val="32"/>
          <w:lang w:eastAsia="zh-CN" w:bidi="ar-SA"/>
        </w:rPr>
        <w:t>。</w:t>
      </w:r>
    </w:p>
    <w:p>
      <w:pPr>
        <w:pStyle w:val="5"/>
        <w:numPr>
          <w:ilvl w:val="0"/>
          <w:numId w:val="0"/>
        </w:numPr>
        <w:spacing w:before="0" w:beforeAutospacing="0" w:after="0" w:afterAutospacing="0" w:line="600" w:lineRule="exact"/>
        <w:ind w:right="0" w:rightChars="0" w:firstLine="643" w:firstLineChars="200"/>
        <w:jc w:val="both"/>
        <w:rPr>
          <w:rFonts w:hint="eastAsia" w:ascii="仿宋_GB2312" w:hAnsi="仿宋_GB2312" w:eastAsia="仿宋_GB2312" w:cs="仿宋_GB2312"/>
          <w:b/>
          <w:bCs/>
          <w:color w:val="auto"/>
          <w:sz w:val="32"/>
          <w:szCs w:val="32"/>
          <w:lang w:val="en-US" w:eastAsia="zh-CN"/>
        </w:rPr>
      </w:pPr>
      <w:bookmarkStart w:id="10" w:name="_GoBack"/>
      <w:bookmarkEnd w:id="10"/>
      <w:r>
        <w:rPr>
          <w:rFonts w:hint="eastAsia" w:ascii="仿宋_GB2312" w:hAnsi="仿宋_GB2312" w:eastAsia="仿宋_GB2312" w:cs="仿宋_GB2312"/>
          <w:b/>
          <w:bCs/>
          <w:color w:val="auto"/>
          <w:sz w:val="32"/>
          <w:szCs w:val="32"/>
          <w:lang w:val="en-US" w:eastAsia="zh-CN"/>
        </w:rPr>
        <w:t>3.政府信息管理</w:t>
      </w:r>
    </w:p>
    <w:p>
      <w:pPr>
        <w:pStyle w:val="5"/>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照上级的部署和要求，充分发挥泰山区人民政府网站信息公开第一平台作用，落实专人负责政府信息公开工作,根据政府信息公开审查机制,按照“先审查,后公开”“一事一审”原则及保密审查的要求,凡是需公开的政府信息,必须填写政府网站信息发布审核表，经分管领导或主要领导审核签发。</w:t>
      </w:r>
    </w:p>
    <w:p>
      <w:pPr>
        <w:pStyle w:val="5"/>
        <w:numPr>
          <w:ilvl w:val="0"/>
          <w:numId w:val="0"/>
        </w:numPr>
        <w:spacing w:before="0" w:beforeAutospacing="0" w:after="0" w:afterAutospacing="0" w:line="600" w:lineRule="exact"/>
        <w:ind w:right="0" w:rightChars="0" w:firstLine="643" w:firstLineChars="20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4.政府信息公开平台建设</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color w:val="auto"/>
          <w:sz w:val="32"/>
          <w:szCs w:val="32"/>
          <w:lang w:eastAsia="zh-CN" w:bidi="ar-SA"/>
        </w:rPr>
        <w:t>泰山经济开发区依托</w:t>
      </w:r>
      <w:r>
        <w:rPr>
          <w:rFonts w:hint="eastAsia" w:ascii="仿宋_GB2312" w:hAnsi="仿宋_GB2312" w:eastAsia="仿宋_GB2312" w:cs="仿宋_GB2312"/>
          <w:color w:val="auto"/>
          <w:sz w:val="32"/>
          <w:szCs w:val="32"/>
          <w:lang w:bidi="ar-SA"/>
        </w:rPr>
        <w:t>泰山区人民政府网站</w:t>
      </w:r>
      <w:r>
        <w:rPr>
          <w:rFonts w:hint="eastAsia" w:ascii="仿宋_GB2312" w:hAnsi="仿宋_GB2312" w:eastAsia="仿宋_GB2312" w:cs="仿宋_GB2312"/>
          <w:color w:val="auto"/>
          <w:sz w:val="32"/>
          <w:szCs w:val="32"/>
          <w:lang w:eastAsia="zh-CN" w:bidi="ar-SA"/>
        </w:rPr>
        <w:t>这一平台</w:t>
      </w:r>
      <w:r>
        <w:rPr>
          <w:rFonts w:hint="eastAsia" w:ascii="仿宋_GB2312" w:hAnsi="仿宋_GB2312" w:eastAsia="仿宋_GB2312" w:cs="仿宋_GB2312"/>
          <w:color w:val="auto"/>
          <w:sz w:val="32"/>
          <w:szCs w:val="32"/>
          <w:lang w:bidi="ar-SA"/>
        </w:rPr>
        <w:t>，面向全</w:t>
      </w:r>
      <w:r>
        <w:rPr>
          <w:rFonts w:hint="eastAsia" w:ascii="仿宋_GB2312" w:hAnsi="仿宋_GB2312" w:eastAsia="仿宋_GB2312" w:cs="仿宋_GB2312"/>
          <w:color w:val="000000" w:themeColor="text1"/>
          <w:sz w:val="32"/>
          <w:szCs w:val="32"/>
          <w:lang w:bidi="ar-SA"/>
        </w:rPr>
        <w:t>社会公开</w:t>
      </w:r>
      <w:r>
        <w:rPr>
          <w:rFonts w:hint="eastAsia" w:ascii="仿宋_GB2312" w:hAnsi="仿宋_GB2312" w:eastAsia="仿宋_GB2312" w:cs="仿宋_GB2312"/>
          <w:color w:val="000000" w:themeColor="text1"/>
          <w:sz w:val="32"/>
          <w:szCs w:val="32"/>
          <w:lang w:eastAsia="zh-CN" w:bidi="ar-SA"/>
        </w:rPr>
        <w:t>、公示、发布</w:t>
      </w:r>
      <w:r>
        <w:rPr>
          <w:rFonts w:hint="eastAsia" w:ascii="仿宋_GB2312" w:hAnsi="仿宋_GB2312" w:eastAsia="仿宋_GB2312" w:cs="仿宋_GB2312"/>
          <w:color w:val="000000" w:themeColor="text1"/>
          <w:sz w:val="32"/>
          <w:szCs w:val="32"/>
          <w:lang w:bidi="ar-SA"/>
        </w:rPr>
        <w:t>本部门信息</w:t>
      </w:r>
      <w:r>
        <w:rPr>
          <w:rFonts w:hint="eastAsia" w:ascii="仿宋_GB2312" w:hAnsi="仿宋_GB2312" w:eastAsia="仿宋_GB2312" w:cs="仿宋_GB2312"/>
          <w:color w:val="000000" w:themeColor="text1"/>
          <w:sz w:val="32"/>
          <w:szCs w:val="32"/>
          <w:lang w:eastAsia="zh-CN" w:bidi="ar-SA"/>
        </w:rPr>
        <w:t>，无自建平台</w:t>
      </w:r>
      <w:r>
        <w:rPr>
          <w:rFonts w:hint="eastAsia" w:ascii="仿宋_GB2312" w:hAnsi="仿宋_GB2312" w:eastAsia="仿宋_GB2312" w:cs="仿宋_GB2312"/>
          <w:color w:val="000000" w:themeColor="text1"/>
          <w:sz w:val="32"/>
          <w:szCs w:val="32"/>
          <w:lang w:bidi="ar-SA"/>
        </w:rPr>
        <w:t>。</w:t>
      </w:r>
      <w:r>
        <w:rPr>
          <w:rFonts w:hint="eastAsia" w:ascii="仿宋_GB2312" w:hAnsi="仿宋_GB2312" w:eastAsia="仿宋_GB2312" w:cs="仿宋_GB2312"/>
          <w:color w:val="000000" w:themeColor="text1"/>
          <w:sz w:val="32"/>
          <w:szCs w:val="32"/>
          <w:lang w:bidi="ar-SA"/>
        </w:rPr>
        <w:br w:type="textWrapping"/>
      </w:r>
      <w:r>
        <w:rPr>
          <w:rFonts w:hint="eastAsia" w:ascii="仿宋_GB2312" w:hAnsi="仿宋_GB2312" w:eastAsia="仿宋_GB2312" w:cs="仿宋_GB2312"/>
          <w:color w:val="000000" w:themeColor="text1"/>
          <w:sz w:val="32"/>
          <w:szCs w:val="32"/>
          <w:lang w:val="en-US" w:eastAsia="zh-CN" w:bidi="ar-SA"/>
        </w:rPr>
        <w:t xml:space="preserve">    </w:t>
      </w:r>
      <w:r>
        <w:rPr>
          <w:rFonts w:hint="eastAsia" w:ascii="仿宋_GB2312" w:hAnsi="仿宋_GB2312" w:eastAsia="仿宋_GB2312" w:cs="仿宋_GB2312"/>
          <w:b/>
          <w:bCs/>
          <w:color w:val="000000" w:themeColor="text1"/>
          <w:sz w:val="32"/>
          <w:szCs w:val="32"/>
        </w:rPr>
        <w:t>5.监督保障</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bidi="ar-SA"/>
        </w:rPr>
      </w:pPr>
      <w:r>
        <w:rPr>
          <w:rFonts w:hint="eastAsia" w:ascii="仿宋_GB2312" w:hAnsi="仿宋_GB2312" w:eastAsia="仿宋_GB2312" w:cs="仿宋_GB2312"/>
          <w:color w:val="000000" w:themeColor="text1"/>
          <w:sz w:val="32"/>
          <w:szCs w:val="32"/>
          <w:lang w:bidi="ar-SA"/>
        </w:rPr>
        <w:t>一是调整完善了</w:t>
      </w:r>
      <w:r>
        <w:rPr>
          <w:rFonts w:hint="eastAsia" w:ascii="仿宋_GB2312" w:hAnsi="仿宋_GB2312" w:eastAsia="仿宋_GB2312" w:cs="仿宋_GB2312"/>
          <w:color w:val="000000" w:themeColor="text1"/>
          <w:sz w:val="32"/>
          <w:szCs w:val="32"/>
          <w:lang w:eastAsia="zh-CN" w:bidi="ar-SA"/>
        </w:rPr>
        <w:t>开发区</w:t>
      </w:r>
      <w:r>
        <w:rPr>
          <w:rFonts w:hint="eastAsia" w:ascii="仿宋_GB2312" w:hAnsi="仿宋_GB2312" w:eastAsia="仿宋_GB2312" w:cs="仿宋_GB2312"/>
          <w:color w:val="000000" w:themeColor="text1"/>
          <w:sz w:val="32"/>
          <w:szCs w:val="32"/>
          <w:lang w:bidi="ar-SA"/>
        </w:rPr>
        <w:t>政务公开工作领导小组,明确了局机关各</w:t>
      </w:r>
      <w:r>
        <w:rPr>
          <w:rFonts w:hint="eastAsia" w:ascii="仿宋_GB2312" w:hAnsi="仿宋_GB2312" w:eastAsia="仿宋_GB2312" w:cs="仿宋_GB2312"/>
          <w:color w:val="000000" w:themeColor="text1"/>
          <w:sz w:val="32"/>
          <w:szCs w:val="32"/>
          <w:lang w:eastAsia="zh-CN" w:bidi="ar-SA"/>
        </w:rPr>
        <w:t>部室</w:t>
      </w:r>
      <w:r>
        <w:rPr>
          <w:rFonts w:hint="eastAsia" w:ascii="仿宋_GB2312" w:hAnsi="仿宋_GB2312" w:eastAsia="仿宋_GB2312" w:cs="仿宋_GB2312"/>
          <w:color w:val="000000" w:themeColor="text1"/>
          <w:sz w:val="32"/>
          <w:szCs w:val="32"/>
          <w:lang w:bidi="ar-SA"/>
        </w:rPr>
        <w:t>任务分工,强化了组织保障。二是</w:t>
      </w:r>
      <w:r>
        <w:rPr>
          <w:rFonts w:hint="eastAsia" w:ascii="仿宋_GB2312" w:hAnsi="仿宋_GB2312" w:eastAsia="仿宋_GB2312" w:cs="仿宋_GB2312"/>
          <w:color w:val="000000" w:themeColor="text1"/>
          <w:sz w:val="32"/>
          <w:szCs w:val="32"/>
          <w:lang w:eastAsia="zh-CN" w:bidi="ar-SA"/>
        </w:rPr>
        <w:t>定期</w:t>
      </w:r>
      <w:r>
        <w:rPr>
          <w:rFonts w:hint="eastAsia" w:ascii="仿宋_GB2312" w:hAnsi="仿宋_GB2312" w:eastAsia="仿宋_GB2312" w:cs="仿宋_GB2312"/>
          <w:color w:val="000000" w:themeColor="text1"/>
          <w:sz w:val="32"/>
          <w:szCs w:val="32"/>
          <w:lang w:bidi="ar-SA"/>
        </w:rPr>
        <w:t>梳理了政府信息公开内容,做到了信息公开重点突出、内容明确、更新及时。</w:t>
      </w:r>
    </w:p>
    <w:p>
      <w:pPr>
        <w:pStyle w:val="5"/>
        <w:spacing w:before="0" w:beforeAutospacing="0" w:after="0" w:afterAutospacing="0" w:line="600" w:lineRule="exact"/>
        <w:ind w:firstLine="643" w:firstLineChars="200"/>
        <w:jc w:val="both"/>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二、</w:t>
      </w:r>
      <w:r>
        <w:rPr>
          <w:rFonts w:hint="eastAsia" w:ascii="仿宋_GB2312" w:hAnsi="仿宋_GB2312" w:eastAsia="仿宋_GB2312" w:cs="仿宋_GB2312"/>
          <w:b/>
          <w:bCs/>
          <w:color w:val="000000" w:themeColor="text1"/>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32"/>
        <w:gridCol w:w="2235"/>
        <w:gridCol w:w="2237"/>
        <w:gridCol w:w="2242"/>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4" w:space="0"/>
              <w:right w:val="single" w:color="000000" w:sz="8" w:space="0"/>
            </w:tcBorders>
            <w:shd w:val="clear" w:color="000000" w:fill="C6D9F1"/>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信息内容</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本年制发件数</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本年废止件数</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现行有效件数</w:t>
            </w:r>
          </w:p>
        </w:tc>
      </w:tr>
      <w:tr>
        <w:tblPrEx>
          <w:tblCellMar>
            <w:top w:w="0" w:type="dxa"/>
            <w:left w:w="108" w:type="dxa"/>
            <w:bottom w:w="0" w:type="dxa"/>
            <w:right w:w="108" w:type="dxa"/>
          </w:tblCellMar>
        </w:tblPrEx>
        <w:trPr>
          <w:trHeight w:val="567" w:hRule="atLeast"/>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规章</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0</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行政规范性文件</w:t>
            </w:r>
          </w:p>
        </w:tc>
        <w:tc>
          <w:tcPr>
            <w:tcW w:w="12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0</w:t>
            </w:r>
          </w:p>
        </w:tc>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0</w:t>
            </w:r>
          </w:p>
        </w:tc>
        <w:tc>
          <w:tcPr>
            <w:tcW w:w="12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信息内容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行政许可</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信息内容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行政处罚</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行政强制</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信息内容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48"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行政事业性收费</w:t>
            </w:r>
          </w:p>
        </w:tc>
        <w:tc>
          <w:tcPr>
            <w:tcW w:w="3751"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0</w:t>
            </w:r>
          </w:p>
        </w:tc>
      </w:tr>
    </w:tbl>
    <w:p>
      <w:pPr>
        <w:pStyle w:val="5"/>
        <w:spacing w:before="0" w:beforeAutospacing="0" w:after="0" w:afterAutospacing="0" w:line="600" w:lineRule="exact"/>
        <w:ind w:firstLine="643" w:firstLineChars="200"/>
        <w:jc w:val="both"/>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（本列数据的勾稽关系为：第一项加第二项之和，</w:t>
            </w:r>
          </w:p>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c>
          <w:tcPr>
            <w:tcW w:w="829" w:type="dxa"/>
            <w:vMerge w:val="restart"/>
            <w:shd w:val="clear" w:color="auto" w:fill="auto"/>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c>
          <w:tcPr>
            <w:tcW w:w="829" w:type="dxa"/>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其他</w:t>
            </w:r>
          </w:p>
        </w:tc>
        <w:tc>
          <w:tcPr>
            <w:tcW w:w="851" w:type="dxa"/>
            <w:vMerge w:val="continue"/>
            <w:shd w:val="clear" w:color="auto" w:fill="auto"/>
            <w:tcMar>
              <w:left w:w="108" w:type="dxa"/>
              <w:right w:w="108" w:type="dxa"/>
            </w:tcMar>
            <w:vAlign w:val="center"/>
          </w:tcPr>
          <w:p>
            <w:pPr>
              <w:jc w:val="center"/>
              <w:rPr>
                <w:rFonts w:hint="eastAsia" w:ascii="仿宋_GB2312" w:hAnsi="仿宋_GB2312" w:eastAsia="仿宋_GB2312" w:cs="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5093" w:type="dxa"/>
            <w:gridSpan w:val="3"/>
            <w:shd w:val="clear" w:color="auto" w:fill="auto"/>
            <w:tcMar>
              <w:left w:w="108" w:type="dxa"/>
              <w:right w:w="108" w:type="dxa"/>
            </w:tcMar>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一、</w:t>
            </w:r>
            <w:bookmarkStart w:id="0" w:name="_Hlk66973412"/>
            <w:r>
              <w:rPr>
                <w:rFonts w:hint="eastAsia" w:ascii="仿宋_GB2312" w:hAnsi="仿宋_GB2312" w:eastAsia="仿宋_GB2312" w:cs="仿宋_GB2312"/>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eastAsia" w:ascii="仿宋_GB2312" w:hAnsi="仿宋_GB2312" w:eastAsia="仿宋_GB2312" w:cs="仿宋_GB2312"/>
                <w:szCs w:val="21"/>
              </w:rPr>
            </w:pPr>
            <w:r>
              <w:rPr>
                <w:rFonts w:hint="eastAsia" w:ascii="仿宋_GB2312" w:hAnsi="仿宋_GB2312" w:eastAsia="仿宋_GB2312" w:cs="仿宋_GB2312"/>
                <w:kern w:val="0"/>
                <w:szCs w:val="21"/>
              </w:rPr>
              <w:t>三、本年度办理结果</w:t>
            </w:r>
          </w:p>
        </w:tc>
        <w:tc>
          <w:tcPr>
            <w:tcW w:w="4677" w:type="dxa"/>
            <w:gridSpan w:val="2"/>
            <w:shd w:val="clear" w:color="auto" w:fill="auto"/>
            <w:tcMar>
              <w:left w:w="108" w:type="dxa"/>
              <w:right w:w="108" w:type="dxa"/>
            </w:tcMar>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4677" w:type="dxa"/>
            <w:gridSpan w:val="2"/>
            <w:shd w:val="clear" w:color="auto" w:fill="auto"/>
            <w:tcMar>
              <w:left w:w="108" w:type="dxa"/>
              <w:right w:w="108" w:type="dxa"/>
            </w:tcMar>
            <w:vAlign w:val="center"/>
          </w:tcPr>
          <w:p>
            <w:pPr>
              <w:widowControl/>
              <w:rPr>
                <w:rFonts w:hint="eastAsia" w:ascii="仿宋_GB2312" w:hAnsi="仿宋_GB2312" w:eastAsia="仿宋_GB2312" w:cs="仿宋_GB2312"/>
                <w:szCs w:val="21"/>
              </w:rPr>
            </w:pPr>
            <w:r>
              <w:rPr>
                <w:rFonts w:hint="eastAsia" w:ascii="仿宋_GB2312" w:hAnsi="仿宋_GB2312" w:eastAsia="仿宋_GB2312" w:cs="仿宋_GB2312"/>
                <w:kern w:val="0"/>
                <w:szCs w:val="21"/>
              </w:rPr>
              <w:t>（二）部分公开（</w:t>
            </w:r>
            <w:bookmarkStart w:id="1" w:name="_Hlk66973981"/>
            <w:r>
              <w:rPr>
                <w:rFonts w:hint="eastAsia" w:ascii="仿宋_GB2312" w:hAnsi="仿宋_GB2312" w:eastAsia="仿宋_GB2312" w:cs="仿宋_GB2312"/>
                <w:kern w:val="0"/>
                <w:szCs w:val="21"/>
              </w:rPr>
              <w:t>区分处理的，只计这一情形，不计其他情形</w:t>
            </w:r>
            <w:bookmarkEnd w:id="1"/>
            <w:r>
              <w:rPr>
                <w:rFonts w:hint="eastAsia" w:ascii="仿宋_GB2312" w:hAnsi="仿宋_GB2312" w:eastAsia="仿宋_GB2312" w:cs="仿宋_GB2312"/>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bookmarkStart w:id="2" w:name="_Hlk66974104"/>
            <w:r>
              <w:rPr>
                <w:rFonts w:hint="eastAsia" w:ascii="仿宋_GB2312" w:hAnsi="仿宋_GB2312" w:eastAsia="仿宋_GB2312" w:cs="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bookmarkStart w:id="3" w:name="_Hlk66974290"/>
            <w:r>
              <w:rPr>
                <w:rFonts w:hint="eastAsia" w:ascii="仿宋_GB2312" w:hAnsi="仿宋_GB2312" w:eastAsia="仿宋_GB2312" w:cs="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bookmarkStart w:id="4" w:name="_Hlk66974555"/>
            <w:r>
              <w:rPr>
                <w:rFonts w:hint="eastAsia" w:ascii="仿宋_GB2312" w:hAnsi="仿宋_GB2312" w:eastAsia="仿宋_GB2312" w:cs="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bookmarkStart w:id="5" w:name="_Hlk66975211"/>
            <w:r>
              <w:rPr>
                <w:rFonts w:hint="eastAsia" w:ascii="仿宋_GB2312" w:hAnsi="仿宋_GB2312" w:eastAsia="仿宋_GB2312" w:cs="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bookmarkStart w:id="6" w:name="_Hlk66975392"/>
            <w:r>
              <w:rPr>
                <w:rFonts w:hint="eastAsia" w:ascii="仿宋_GB2312" w:hAnsi="仿宋_GB2312" w:eastAsia="仿宋_GB2312" w:cs="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bookmarkStart w:id="7" w:name="_Hlk66975466"/>
            <w:r>
              <w:rPr>
                <w:rFonts w:hint="eastAsia" w:ascii="仿宋_GB2312" w:hAnsi="仿宋_GB2312" w:eastAsia="仿宋_GB2312" w:cs="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仿宋_GB2312" w:hAnsi="仿宋_GB2312" w:eastAsia="仿宋_GB2312" w:cs="仿宋_GB2312"/>
                <w:szCs w:val="21"/>
              </w:rPr>
            </w:pPr>
            <w:r>
              <w:rPr>
                <w:rFonts w:hint="eastAsia" w:ascii="仿宋_GB2312" w:hAnsi="仿宋_GB2312" w:eastAsia="仿宋_GB2312" w:cs="仿宋_GB2312"/>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bookmarkStart w:id="8" w:name="_Hlk66975537"/>
            <w:r>
              <w:rPr>
                <w:rFonts w:hint="eastAsia" w:ascii="仿宋_GB2312" w:hAnsi="仿宋_GB2312" w:eastAsia="仿宋_GB2312" w:cs="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spacing w:line="200" w:lineRule="exact"/>
              <w:rPr>
                <w:rFonts w:hint="eastAsia" w:ascii="仿宋_GB2312" w:hAnsi="仿宋_GB2312" w:eastAsia="仿宋_GB2312" w:cs="仿宋_GB2312"/>
                <w:szCs w:val="21"/>
              </w:rPr>
            </w:pPr>
          </w:p>
        </w:tc>
        <w:tc>
          <w:tcPr>
            <w:tcW w:w="2976" w:type="dxa"/>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5.要求行政机关确认或重新</w:t>
            </w:r>
          </w:p>
          <w:p>
            <w:pPr>
              <w:widowControl/>
              <w:spacing w:line="300" w:lineRule="exact"/>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restart"/>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（六）其他处理</w:t>
            </w:r>
          </w:p>
        </w:tc>
        <w:tc>
          <w:tcPr>
            <w:tcW w:w="2976" w:type="dxa"/>
            <w:shd w:val="clear" w:color="auto" w:fill="auto"/>
            <w:vAlign w:val="center"/>
          </w:tcPr>
          <w:p>
            <w:pPr>
              <w:widowControl/>
              <w:spacing w:line="300" w:lineRule="exact"/>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p>
        </w:tc>
        <w:tc>
          <w:tcPr>
            <w:tcW w:w="2976" w:type="dxa"/>
            <w:shd w:val="clear" w:color="auto" w:fill="auto"/>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1701" w:type="dxa"/>
            <w:vMerge w:val="continue"/>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p>
        </w:tc>
        <w:tc>
          <w:tcPr>
            <w:tcW w:w="2976" w:type="dxa"/>
            <w:shd w:val="clear" w:color="auto" w:fill="auto"/>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eastAsia" w:ascii="仿宋_GB2312" w:hAnsi="仿宋_GB2312" w:eastAsia="仿宋_GB2312" w:cs="仿宋_GB2312"/>
                <w:szCs w:val="21"/>
              </w:rPr>
            </w:pPr>
          </w:p>
        </w:tc>
        <w:tc>
          <w:tcPr>
            <w:tcW w:w="4677" w:type="dxa"/>
            <w:gridSpan w:val="2"/>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（七）总计</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w:t>
            </w:r>
          </w:p>
        </w:tc>
      </w:tr>
    </w:tbl>
    <w:p>
      <w:pPr>
        <w:pStyle w:val="5"/>
        <w:spacing w:before="0" w:beforeAutospacing="0" w:after="0" w:afterAutospacing="0" w:line="600" w:lineRule="exact"/>
        <w:ind w:firstLine="643" w:firstLineChars="200"/>
        <w:jc w:val="both"/>
        <w:rPr>
          <w:rFonts w:hint="eastAsia" w:ascii="仿宋_GB2312" w:hAnsi="仿宋_GB2312" w:eastAsia="仿宋_GB2312" w:cs="仿宋_GB2312"/>
          <w:b/>
          <w:bCs/>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行政复议</w:t>
            </w:r>
          </w:p>
        </w:tc>
        <w:tc>
          <w:tcPr>
            <w:tcW w:w="5997" w:type="dxa"/>
            <w:gridSpan w:val="10"/>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49" w:leftChars="-71" w:right="-170" w:rightChars="-81"/>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结果</w:t>
            </w:r>
          </w:p>
          <w:p>
            <w:pPr>
              <w:widowControl/>
              <w:ind w:left="-149" w:leftChars="-71" w:right="-170" w:rightChars="-81"/>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维持</w:t>
            </w:r>
          </w:p>
        </w:tc>
        <w:tc>
          <w:tcPr>
            <w:tcW w:w="60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43" w:leftChars="-21" w:right="-132" w:rightChars="-63" w:hanging="1"/>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60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82" w:leftChars="-39" w:right="-97" w:rightChars="-46"/>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其他结果</w:t>
            </w:r>
          </w:p>
        </w:tc>
        <w:tc>
          <w:tcPr>
            <w:tcW w:w="604"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18" w:leftChars="-56" w:right="-118" w:rightChars="-56"/>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尚未</w:t>
            </w:r>
          </w:p>
          <w:p>
            <w:pPr>
              <w:widowControl/>
              <w:ind w:left="-118" w:leftChars="-56" w:right="-118" w:rightChars="-56"/>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审结</w:t>
            </w:r>
          </w:p>
        </w:tc>
        <w:tc>
          <w:tcPr>
            <w:tcW w:w="658"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pacing w:line="32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总</w:t>
            </w:r>
          </w:p>
          <w:p>
            <w:pPr>
              <w:widowControl/>
              <w:spacing w:line="320" w:lineRule="exact"/>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计</w:t>
            </w:r>
          </w:p>
        </w:tc>
        <w:tc>
          <w:tcPr>
            <w:tcW w:w="2970"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未经复议直接起诉</w:t>
            </w:r>
          </w:p>
        </w:tc>
        <w:tc>
          <w:tcPr>
            <w:tcW w:w="3027" w:type="dxa"/>
            <w:gridSpan w:val="5"/>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rPr>
            </w:pPr>
            <w:bookmarkStart w:id="9" w:name="_Hlk67039688"/>
            <w:r>
              <w:rPr>
                <w:rFonts w:hint="eastAsia" w:ascii="仿宋_GB2312" w:hAnsi="仿宋_GB2312" w:eastAsia="仿宋_GB2312" w:cs="仿宋_GB2312"/>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60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60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604"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658"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_GB2312" w:hAnsi="仿宋_GB2312" w:eastAsia="仿宋_GB2312" w:cs="仿宋_GB2312"/>
                <w:sz w:val="24"/>
              </w:rPr>
            </w:pPr>
          </w:p>
        </w:tc>
        <w:tc>
          <w:tcPr>
            <w:tcW w:w="5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05" w:leftChars="-50" w:right="-126" w:rightChars="-60"/>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86" w:leftChars="-41" w:right="-88" w:rightChars="-42"/>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结果纠正</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26" w:leftChars="-60" w:right="-136" w:rightChars="-65"/>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p>
            <w:pPr>
              <w:widowControl/>
              <w:ind w:left="-126" w:leftChars="-60" w:right="-136" w:rightChars="-65"/>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64" w:leftChars="-78" w:right="-153" w:rightChars="-73"/>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尚未</w:t>
            </w:r>
          </w:p>
          <w:p>
            <w:pPr>
              <w:widowControl/>
              <w:ind w:left="-164" w:leftChars="-78" w:right="-153" w:rightChars="-73"/>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审结</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99" w:leftChars="-47" w:right="-78" w:rightChars="-37"/>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36" w:leftChars="-65" w:right="-124" w:rightChars="-59"/>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结果</w:t>
            </w:r>
          </w:p>
          <w:p>
            <w:pPr>
              <w:widowControl/>
              <w:ind w:left="-136" w:leftChars="-65" w:right="-124" w:rightChars="-59"/>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纠正</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173" w:leftChars="-83" w:right="-134" w:rightChars="-64" w:hanging="1"/>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其他</w:t>
            </w:r>
          </w:p>
          <w:p>
            <w:pPr>
              <w:widowControl/>
              <w:ind w:left="-173" w:leftChars="-83" w:right="-134" w:rightChars="-64" w:hanging="1"/>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结果</w:t>
            </w:r>
          </w:p>
        </w:tc>
        <w:tc>
          <w:tcPr>
            <w:tcW w:w="6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ind w:left="-67" w:leftChars="-33" w:right="-105" w:rightChars="-50" w:hanging="2" w:hangingChars="1"/>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尚未审结</w:t>
            </w:r>
          </w:p>
        </w:tc>
        <w:tc>
          <w:tcPr>
            <w:tcW w:w="60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5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6"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c>
          <w:tcPr>
            <w:tcW w:w="606"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0</w:t>
            </w:r>
          </w:p>
        </w:tc>
      </w:tr>
    </w:tbl>
    <w:p>
      <w:pPr>
        <w:pStyle w:val="5"/>
        <w:numPr>
          <w:ilvl w:val="0"/>
          <w:numId w:val="1"/>
        </w:numPr>
        <w:spacing w:before="0" w:beforeAutospacing="0" w:after="0" w:afterAutospacing="0" w:line="600" w:lineRule="exact"/>
        <w:ind w:left="0" w:right="0" w:firstLine="643" w:firstLineChars="200"/>
        <w:jc w:val="both"/>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存在的主要问题及改进情况</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eastAsia="zh-CN" w:bidi="ar-SA"/>
        </w:rPr>
      </w:pPr>
      <w:r>
        <w:rPr>
          <w:rFonts w:hint="eastAsia" w:ascii="仿宋_GB2312" w:hAnsi="仿宋_GB2312" w:eastAsia="仿宋_GB2312" w:cs="仿宋_GB2312"/>
          <w:color w:val="000000" w:themeColor="text1"/>
          <w:sz w:val="32"/>
          <w:szCs w:val="32"/>
          <w:lang w:bidi="ar-SA"/>
        </w:rPr>
        <w:t>2023年，</w:t>
      </w:r>
      <w:r>
        <w:rPr>
          <w:rFonts w:hint="eastAsia" w:ascii="仿宋_GB2312" w:hAnsi="仿宋_GB2312" w:eastAsia="仿宋_GB2312" w:cs="仿宋_GB2312"/>
          <w:color w:val="000000" w:themeColor="text1"/>
          <w:sz w:val="32"/>
          <w:szCs w:val="32"/>
          <w:lang w:eastAsia="zh-CN" w:bidi="ar-SA"/>
        </w:rPr>
        <w:t>泰山经济开发区</w:t>
      </w:r>
      <w:r>
        <w:rPr>
          <w:rFonts w:hint="eastAsia" w:ascii="仿宋_GB2312" w:hAnsi="仿宋_GB2312" w:eastAsia="仿宋_GB2312" w:cs="仿宋_GB2312"/>
          <w:color w:val="000000" w:themeColor="text1"/>
          <w:sz w:val="32"/>
          <w:szCs w:val="32"/>
          <w:lang w:bidi="ar-SA"/>
        </w:rPr>
        <w:t>按照政府信息公开条例在政务信息公开方面做了一些工作，取得了一定成效，但与信息公开工作要求还存在一定差距，</w:t>
      </w:r>
      <w:r>
        <w:rPr>
          <w:rFonts w:hint="eastAsia" w:ascii="仿宋_GB2312" w:hAnsi="仿宋_GB2312" w:eastAsia="仿宋_GB2312" w:cs="仿宋_GB2312"/>
          <w:color w:val="000000" w:themeColor="text1"/>
          <w:sz w:val="32"/>
          <w:szCs w:val="32"/>
          <w:lang w:eastAsia="zh-CN" w:bidi="ar-SA"/>
        </w:rPr>
        <w:t>主要有：</w:t>
      </w:r>
      <w:r>
        <w:rPr>
          <w:rFonts w:hint="eastAsia" w:ascii="仿宋_GB2312" w:hAnsi="仿宋_GB2312" w:eastAsia="仿宋_GB2312" w:cs="仿宋_GB2312"/>
          <w:color w:val="000000" w:themeColor="text1"/>
          <w:sz w:val="32"/>
          <w:szCs w:val="32"/>
          <w:lang w:bidi="ar-SA"/>
        </w:rPr>
        <w:t>一是</w:t>
      </w:r>
      <w:r>
        <w:rPr>
          <w:rFonts w:hint="eastAsia" w:ascii="仿宋_GB2312" w:hAnsi="仿宋_GB2312" w:eastAsia="仿宋_GB2312" w:cs="仿宋_GB2312"/>
          <w:color w:val="000000" w:themeColor="text1"/>
          <w:sz w:val="32"/>
          <w:szCs w:val="32"/>
          <w:lang w:eastAsia="zh-CN" w:bidi="ar-SA"/>
        </w:rPr>
        <w:t>需定期</w:t>
      </w:r>
      <w:r>
        <w:rPr>
          <w:rFonts w:hint="eastAsia" w:ascii="仿宋_GB2312" w:hAnsi="仿宋_GB2312" w:eastAsia="仿宋_GB2312" w:cs="仿宋_GB2312"/>
          <w:color w:val="000000" w:themeColor="text1"/>
          <w:sz w:val="32"/>
          <w:szCs w:val="32"/>
          <w:lang w:bidi="ar-SA"/>
        </w:rPr>
        <w:t>公开</w:t>
      </w:r>
      <w:r>
        <w:rPr>
          <w:rFonts w:hint="eastAsia" w:ascii="仿宋_GB2312" w:hAnsi="仿宋_GB2312" w:eastAsia="仿宋_GB2312" w:cs="仿宋_GB2312"/>
          <w:color w:val="000000" w:themeColor="text1"/>
          <w:sz w:val="32"/>
          <w:szCs w:val="32"/>
          <w:lang w:eastAsia="zh-CN" w:bidi="ar-SA"/>
        </w:rPr>
        <w:t>进展的</w:t>
      </w:r>
      <w:r>
        <w:rPr>
          <w:rFonts w:hint="eastAsia" w:ascii="仿宋_GB2312" w:hAnsi="仿宋_GB2312" w:eastAsia="仿宋_GB2312" w:cs="仿宋_GB2312"/>
          <w:color w:val="000000" w:themeColor="text1"/>
          <w:sz w:val="32"/>
          <w:szCs w:val="32"/>
          <w:lang w:bidi="ar-SA"/>
        </w:rPr>
        <w:t>政</w:t>
      </w:r>
      <w:r>
        <w:rPr>
          <w:rFonts w:hint="eastAsia" w:ascii="仿宋_GB2312" w:hAnsi="仿宋_GB2312" w:eastAsia="仿宋_GB2312" w:cs="仿宋_GB2312"/>
          <w:color w:val="000000" w:themeColor="text1"/>
          <w:sz w:val="32"/>
          <w:szCs w:val="32"/>
          <w:lang w:eastAsia="zh-CN" w:bidi="ar-SA"/>
        </w:rPr>
        <w:t>务</w:t>
      </w:r>
      <w:r>
        <w:rPr>
          <w:rFonts w:hint="eastAsia" w:ascii="仿宋_GB2312" w:hAnsi="仿宋_GB2312" w:eastAsia="仿宋_GB2312" w:cs="仿宋_GB2312"/>
          <w:color w:val="000000" w:themeColor="text1"/>
          <w:sz w:val="32"/>
          <w:szCs w:val="32"/>
          <w:lang w:bidi="ar-SA"/>
        </w:rPr>
        <w:t>信息</w:t>
      </w:r>
      <w:r>
        <w:rPr>
          <w:rFonts w:hint="eastAsia" w:ascii="仿宋_GB2312" w:hAnsi="仿宋_GB2312" w:eastAsia="仿宋_GB2312" w:cs="仿宋_GB2312"/>
          <w:color w:val="000000" w:themeColor="text1"/>
          <w:sz w:val="32"/>
          <w:szCs w:val="32"/>
          <w:lang w:eastAsia="zh-CN" w:bidi="ar-SA"/>
        </w:rPr>
        <w:t>存在偶尔更新不及时的问题</w:t>
      </w:r>
      <w:r>
        <w:rPr>
          <w:rFonts w:hint="eastAsia" w:ascii="仿宋_GB2312" w:hAnsi="仿宋_GB2312" w:eastAsia="仿宋_GB2312" w:cs="仿宋_GB2312"/>
          <w:color w:val="000000" w:themeColor="text1"/>
          <w:sz w:val="32"/>
          <w:szCs w:val="32"/>
          <w:lang w:bidi="ar-SA"/>
        </w:rPr>
        <w:t>。二是</w:t>
      </w:r>
      <w:r>
        <w:rPr>
          <w:rFonts w:hint="eastAsia" w:ascii="仿宋_GB2312" w:hAnsi="仿宋_GB2312" w:eastAsia="仿宋_GB2312" w:cs="仿宋_GB2312"/>
          <w:color w:val="000000" w:themeColor="text1"/>
          <w:sz w:val="32"/>
          <w:szCs w:val="32"/>
          <w:lang w:eastAsia="zh-CN" w:bidi="ar-SA"/>
        </w:rPr>
        <w:t>个别信息存在补发的问题。</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bidi="ar-SA"/>
        </w:rPr>
      </w:pPr>
      <w:r>
        <w:rPr>
          <w:rFonts w:hint="eastAsia" w:ascii="仿宋_GB2312" w:hAnsi="仿宋_GB2312" w:eastAsia="仿宋_GB2312" w:cs="仿宋_GB2312"/>
          <w:color w:val="000000" w:themeColor="text1"/>
          <w:sz w:val="32"/>
          <w:szCs w:val="32"/>
          <w:lang w:bidi="ar-SA"/>
        </w:rPr>
        <w:t>改进措施：一是加强领导，加大政务信息更新力度，落实工作目标，做到信息生成与发布保持同步。</w:t>
      </w:r>
      <w:r>
        <w:rPr>
          <w:rFonts w:hint="eastAsia" w:ascii="仿宋_GB2312" w:hAnsi="仿宋_GB2312" w:eastAsia="仿宋_GB2312" w:cs="仿宋_GB2312"/>
          <w:color w:val="000000" w:themeColor="text1"/>
          <w:sz w:val="32"/>
          <w:szCs w:val="32"/>
          <w:lang w:eastAsia="zh-CN" w:bidi="ar-SA"/>
        </w:rPr>
        <w:t>二是定期梳理需发布进展信息，及时收集、发布信息，提高信息的时效性。</w:t>
      </w:r>
    </w:p>
    <w:p>
      <w:pPr>
        <w:pStyle w:val="5"/>
        <w:spacing w:before="0" w:beforeAutospacing="0" w:after="0" w:afterAutospacing="0" w:line="600" w:lineRule="exact"/>
        <w:ind w:firstLine="643" w:firstLineChars="200"/>
        <w:jc w:val="both"/>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lang w:val="en-US" w:eastAsia="zh-CN"/>
        </w:rPr>
        <w:t>六、</w:t>
      </w:r>
      <w:r>
        <w:rPr>
          <w:rFonts w:hint="eastAsia" w:ascii="仿宋_GB2312" w:hAnsi="仿宋_GB2312" w:eastAsia="仿宋_GB2312" w:cs="仿宋_GB2312"/>
          <w:b/>
          <w:bCs/>
          <w:color w:val="000000" w:themeColor="text1"/>
          <w:sz w:val="32"/>
          <w:szCs w:val="32"/>
        </w:rPr>
        <w:t>其他需要报告的事项</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bidi="ar-SA"/>
        </w:rPr>
      </w:pPr>
      <w:r>
        <w:rPr>
          <w:rFonts w:hint="eastAsia" w:ascii="仿宋_GB2312" w:hAnsi="仿宋_GB2312" w:eastAsia="仿宋_GB2312" w:cs="仿宋_GB2312"/>
          <w:color w:val="000000" w:themeColor="text1"/>
          <w:sz w:val="32"/>
          <w:szCs w:val="32"/>
          <w:lang w:bidi="ar-SA"/>
        </w:rPr>
        <w:t>1.依据《政府信息公开信息处理费管理办法》收取信息处理费的情况。202</w:t>
      </w:r>
      <w:r>
        <w:rPr>
          <w:rFonts w:hint="eastAsia" w:ascii="仿宋_GB2312" w:hAnsi="仿宋_GB2312" w:eastAsia="仿宋_GB2312" w:cs="仿宋_GB2312"/>
          <w:color w:val="000000" w:themeColor="text1"/>
          <w:sz w:val="32"/>
          <w:szCs w:val="32"/>
          <w:lang w:val="en-US" w:eastAsia="zh-CN" w:bidi="ar-SA"/>
        </w:rPr>
        <w:t>3</w:t>
      </w:r>
      <w:r>
        <w:rPr>
          <w:rFonts w:hint="eastAsia" w:ascii="仿宋_GB2312" w:hAnsi="仿宋_GB2312" w:eastAsia="仿宋_GB2312" w:cs="仿宋_GB2312"/>
          <w:color w:val="000000" w:themeColor="text1"/>
          <w:sz w:val="32"/>
          <w:szCs w:val="32"/>
          <w:lang w:bidi="ar-SA"/>
        </w:rPr>
        <w:t>年泰山经济开发区无收取信息处理费的事项。</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bidi="ar-SA"/>
        </w:rPr>
      </w:pPr>
      <w:r>
        <w:rPr>
          <w:rFonts w:hint="eastAsia" w:ascii="仿宋_GB2312" w:hAnsi="仿宋_GB2312" w:eastAsia="仿宋_GB2312" w:cs="仿宋_GB2312"/>
          <w:color w:val="000000" w:themeColor="text1"/>
          <w:sz w:val="32"/>
          <w:szCs w:val="32"/>
          <w:lang w:bidi="ar-SA"/>
        </w:rPr>
        <w:t>2.落实上级年度政务公开工作要点情况。泰山经济开发区积极落实区政府办政务公开工作相关要求，安排专人进行信息更新，确保政务公开不缺项、漏项，政务公开信息全面完整。建立政务公开台账，政务公开工作台账以纸质和电子文档两种形式存档,并明确政务公开的形式、程序、内容、要求。</w:t>
      </w:r>
    </w:p>
    <w:p>
      <w:pPr>
        <w:pStyle w:val="5"/>
        <w:spacing w:before="0" w:beforeAutospacing="0" w:after="0" w:afterAutospacing="0" w:line="600" w:lineRule="exact"/>
        <w:ind w:left="0" w:right="0" w:firstLine="640" w:firstLineChars="200"/>
        <w:jc w:val="both"/>
        <w:rPr>
          <w:rFonts w:hint="eastAsia" w:ascii="仿宋_GB2312" w:hAnsi="仿宋_GB2312" w:eastAsia="仿宋_GB2312" w:cs="仿宋_GB2312"/>
          <w:color w:val="000000" w:themeColor="text1"/>
          <w:sz w:val="32"/>
          <w:szCs w:val="32"/>
          <w:lang w:bidi="ar-SA"/>
        </w:rPr>
      </w:pPr>
      <w:r>
        <w:rPr>
          <w:rFonts w:hint="eastAsia" w:ascii="仿宋_GB2312" w:hAnsi="仿宋_GB2312" w:eastAsia="仿宋_GB2312" w:cs="仿宋_GB2312"/>
          <w:color w:val="000000" w:themeColor="text1"/>
          <w:sz w:val="32"/>
          <w:szCs w:val="32"/>
          <w:lang w:bidi="ar-SA"/>
        </w:rPr>
        <w:t>3.人大代表建议和政协提案办理结果公开情况。202</w:t>
      </w:r>
      <w:r>
        <w:rPr>
          <w:rFonts w:hint="eastAsia" w:ascii="仿宋_GB2312" w:hAnsi="仿宋_GB2312" w:eastAsia="仿宋_GB2312" w:cs="仿宋_GB2312"/>
          <w:color w:val="000000" w:themeColor="text1"/>
          <w:sz w:val="32"/>
          <w:szCs w:val="32"/>
          <w:lang w:val="en-US" w:eastAsia="zh-CN" w:bidi="ar-SA"/>
        </w:rPr>
        <w:t>3</w:t>
      </w:r>
      <w:r>
        <w:rPr>
          <w:rFonts w:hint="eastAsia" w:ascii="仿宋_GB2312" w:hAnsi="仿宋_GB2312" w:eastAsia="仿宋_GB2312" w:cs="仿宋_GB2312"/>
          <w:color w:val="000000" w:themeColor="text1"/>
          <w:sz w:val="32"/>
          <w:szCs w:val="32"/>
          <w:lang w:bidi="ar-SA"/>
        </w:rPr>
        <w:t>年泰山经济开发区共承办人大建议、政协提案</w:t>
      </w:r>
      <w:r>
        <w:rPr>
          <w:rFonts w:hint="eastAsia" w:ascii="仿宋_GB2312" w:hAnsi="仿宋_GB2312" w:eastAsia="仿宋_GB2312" w:cs="仿宋_GB2312"/>
          <w:color w:val="000000" w:themeColor="text1"/>
          <w:sz w:val="32"/>
          <w:szCs w:val="32"/>
          <w:lang w:val="en-US" w:eastAsia="zh-CN" w:bidi="ar-SA"/>
        </w:rPr>
        <w:t>1</w:t>
      </w:r>
      <w:r>
        <w:rPr>
          <w:rFonts w:hint="eastAsia" w:ascii="仿宋_GB2312" w:hAnsi="仿宋_GB2312" w:eastAsia="仿宋_GB2312" w:cs="仿宋_GB2312"/>
          <w:color w:val="000000" w:themeColor="text1"/>
          <w:sz w:val="32"/>
          <w:szCs w:val="32"/>
          <w:lang w:bidi="ar-SA"/>
        </w:rPr>
        <w:t>项，其中人大建议</w:t>
      </w:r>
      <w:r>
        <w:rPr>
          <w:rFonts w:hint="eastAsia" w:ascii="仿宋_GB2312" w:hAnsi="仿宋_GB2312" w:eastAsia="仿宋_GB2312" w:cs="仿宋_GB2312"/>
          <w:color w:val="000000" w:themeColor="text1"/>
          <w:sz w:val="32"/>
          <w:szCs w:val="32"/>
          <w:lang w:val="en-US" w:eastAsia="zh-CN" w:bidi="ar-SA"/>
        </w:rPr>
        <w:t>1</w:t>
      </w:r>
      <w:r>
        <w:rPr>
          <w:rFonts w:hint="eastAsia" w:ascii="仿宋_GB2312" w:hAnsi="仿宋_GB2312" w:eastAsia="仿宋_GB2312" w:cs="仿宋_GB2312"/>
          <w:color w:val="000000" w:themeColor="text1"/>
          <w:sz w:val="32"/>
          <w:szCs w:val="32"/>
          <w:lang w:bidi="ar-SA"/>
        </w:rPr>
        <w:t>项，政协提案0项。截至目前，我单位负责的建议、提案全部办理完毕，办结率为100%，人大代表、政协委员对办理工作表示满意，所提出的问题得到解决。</w:t>
      </w:r>
    </w:p>
    <w:p>
      <w:pPr>
        <w:pStyle w:val="5"/>
        <w:spacing w:before="0" w:beforeAutospacing="0" w:after="0" w:afterAutospacing="0" w:line="600" w:lineRule="exact"/>
        <w:ind w:left="0" w:right="0" w:firstLine="640" w:firstLineChars="200"/>
        <w:jc w:val="both"/>
        <w:rPr>
          <w:rFonts w:hint="eastAsia" w:ascii="仿宋_GB2312" w:hAnsi="Calibri" w:eastAsia="仿宋_GB2312" w:cs="Times New Roman"/>
          <w:color w:val="000000" w:themeColor="text1"/>
          <w:sz w:val="32"/>
          <w:szCs w:val="32"/>
          <w:lang w:bidi="ar-SA"/>
        </w:rPr>
      </w:pPr>
      <w:r>
        <w:rPr>
          <w:rFonts w:hint="eastAsia" w:ascii="仿宋_GB2312" w:hAnsi="仿宋_GB2312" w:eastAsia="仿宋_GB2312" w:cs="仿宋_GB2312"/>
          <w:color w:val="000000" w:themeColor="text1"/>
          <w:sz w:val="32"/>
          <w:szCs w:val="32"/>
          <w:lang w:bidi="ar-SA"/>
        </w:rPr>
        <w:t>4.政务公开工作创新情况。为进一步做好开发区政务公开</w:t>
      </w:r>
      <w:r>
        <w:rPr>
          <w:rFonts w:hint="eastAsia" w:ascii="仿宋_GB2312" w:hAnsi="Calibri" w:eastAsia="仿宋_GB2312" w:cs="Times New Roman"/>
          <w:color w:val="000000" w:themeColor="text1"/>
          <w:sz w:val="32"/>
          <w:szCs w:val="32"/>
          <w:lang w:bidi="ar-SA"/>
        </w:rPr>
        <w:t>工作，创新政企互动形式，搭建开发区与企业之间的沟通桥梁，泰山经济开发区结合工作实际，开展“百人联百企”包保服务活动，通过企业家联谊会、现场座谈等方式，倾听企业诉求建议，及时协调解决问题。为企业配备服务专员，把握无事不扰、有求必应原则，通过政策帮扶、“店小二”服务等形式，为企业高质量发展保驾护航。</w:t>
      </w:r>
    </w:p>
    <w:p>
      <w:pPr>
        <w:pStyle w:val="5"/>
        <w:spacing w:before="0" w:beforeAutospacing="0" w:after="0" w:afterAutospacing="0" w:line="600" w:lineRule="exact"/>
        <w:ind w:left="0" w:right="0" w:firstLine="640" w:firstLineChars="200"/>
        <w:jc w:val="both"/>
        <w:rPr>
          <w:rFonts w:hint="eastAsia" w:ascii="仿宋_GB2312" w:hAnsi="Calibri" w:eastAsia="仿宋_GB2312" w:cs="Times New Roman"/>
          <w:color w:val="000000" w:themeColor="text1"/>
          <w:sz w:val="32"/>
          <w:szCs w:val="32"/>
          <w:lang w:val="en-US" w:eastAsia="zh-CN" w:bidi="ar-SA"/>
        </w:rPr>
      </w:pPr>
    </w:p>
    <w:p>
      <w:pPr>
        <w:ind w:firstLine="640" w:firstLineChars="200"/>
        <w:rPr>
          <w:rFonts w:ascii="仿宋_GB2312" w:eastAsia="仿宋_GB2312"/>
          <w:color w:val="FF0000"/>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9D63750-582D-46D8-BBED-99ECC82CF63B}"/>
  </w:font>
  <w:font w:name="Cambria">
    <w:panose1 w:val="02040503050406030204"/>
    <w:charset w:val="00"/>
    <w:family w:val="auto"/>
    <w:pitch w:val="default"/>
    <w:sig w:usb0="E00002FF" w:usb1="400004FF" w:usb2="00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42E5FB4A-8A15-4F1C-B51A-D2070D5D3943}"/>
  </w:font>
  <w:font w:name="仿宋_GB2312">
    <w:panose1 w:val="02010609030101010101"/>
    <w:charset w:val="86"/>
    <w:family w:val="modern"/>
    <w:pitch w:val="default"/>
    <w:sig w:usb0="00000001" w:usb1="080E0000" w:usb2="00000000" w:usb3="00000000" w:csb0="00040000" w:csb1="00000000"/>
    <w:embedRegular r:id="rId3" w:fontKey="{305517C8-AEC2-4934-8675-147C2F0377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F6DE8"/>
    <w:multiLevelType w:val="singleLevel"/>
    <w:tmpl w:val="DDCF6DE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yYzczMzQ1OGJiMzQ5ZmM3ODIzYWY4MWUzY2E5MDgifQ=="/>
  </w:docVars>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92D1E82"/>
    <w:rsid w:val="0BE44893"/>
    <w:rsid w:val="0C197EFD"/>
    <w:rsid w:val="0C886EAB"/>
    <w:rsid w:val="118F7958"/>
    <w:rsid w:val="153C0E2B"/>
    <w:rsid w:val="16C7018F"/>
    <w:rsid w:val="17600C4E"/>
    <w:rsid w:val="20315E0F"/>
    <w:rsid w:val="20792A83"/>
    <w:rsid w:val="21537630"/>
    <w:rsid w:val="228D0D1F"/>
    <w:rsid w:val="283D0195"/>
    <w:rsid w:val="2C202B28"/>
    <w:rsid w:val="2D126E0D"/>
    <w:rsid w:val="2ED9699B"/>
    <w:rsid w:val="31473E7A"/>
    <w:rsid w:val="318E1295"/>
    <w:rsid w:val="364F21ED"/>
    <w:rsid w:val="372142C2"/>
    <w:rsid w:val="388A4CBC"/>
    <w:rsid w:val="3BF75330"/>
    <w:rsid w:val="3FF605CD"/>
    <w:rsid w:val="468B3F91"/>
    <w:rsid w:val="4A45335F"/>
    <w:rsid w:val="4E2F67D9"/>
    <w:rsid w:val="50CD4459"/>
    <w:rsid w:val="540366B0"/>
    <w:rsid w:val="57D453FD"/>
    <w:rsid w:val="59186333"/>
    <w:rsid w:val="5EEDC3F8"/>
    <w:rsid w:val="60DA1397"/>
    <w:rsid w:val="635D0996"/>
    <w:rsid w:val="65FF0DA3"/>
    <w:rsid w:val="671F2A18"/>
    <w:rsid w:val="6C1D5ADB"/>
    <w:rsid w:val="6D876F5F"/>
    <w:rsid w:val="76DDF9C0"/>
    <w:rsid w:val="77B81EDB"/>
    <w:rsid w:val="7A387F61"/>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autoRedefine/>
    <w:qFormat/>
    <w:uiPriority w:val="0"/>
    <w:rPr>
      <w:color w:val="0000FF"/>
      <w:u w:val="single"/>
    </w:rPr>
  </w:style>
  <w:style w:type="character" w:customStyle="1" w:styleId="9">
    <w:name w:val="页眉 字符"/>
    <w:basedOn w:val="7"/>
    <w:link w:val="4"/>
    <w:autoRedefine/>
    <w:semiHidden/>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97</TotalTime>
  <ScaleCrop>false</ScaleCrop>
  <LinksUpToDate>false</LinksUpToDate>
  <CharactersWithSpaces>4263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菩提</cp:lastModifiedBy>
  <dcterms:modified xsi:type="dcterms:W3CDTF">2024-01-19T08:22:56Z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88C9F9DA849E46FCA024825035A0B913</vt:lpwstr>
  </property>
</Properties>
</file>