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00" w:lineRule="exact"/>
        <w:jc w:val="center"/>
        <w:rPr>
          <w:rFonts w:ascii="Times New Roman" w:hAnsi="Times New Roman" w:eastAsia="方正小标宋简体"/>
          <w:color w:val="auto"/>
          <w:spacing w:val="10"/>
          <w:sz w:val="44"/>
          <w:szCs w:val="44"/>
        </w:rPr>
      </w:pPr>
      <w:r>
        <w:rPr>
          <w:rFonts w:hint="eastAsia" w:ascii="Times New Roman" w:hAnsi="Times New Roman" w:eastAsia="方正小标宋简体"/>
          <w:color w:val="auto"/>
          <w:spacing w:val="10"/>
          <w:sz w:val="44"/>
          <w:szCs w:val="44"/>
          <w:lang w:val="en-US" w:eastAsia="zh-CN"/>
        </w:rPr>
        <w:t>泰安市泰山区商务局</w:t>
      </w:r>
      <w:r>
        <w:rPr>
          <w:rFonts w:hint="eastAsia" w:ascii="Times New Roman" w:hAnsi="Times New Roman" w:eastAsia="方正小标宋简体"/>
          <w:color w:val="auto"/>
          <w:spacing w:val="10"/>
          <w:sz w:val="44"/>
          <w:szCs w:val="44"/>
        </w:rPr>
        <w:t>202</w:t>
      </w:r>
      <w:r>
        <w:rPr>
          <w:rFonts w:hint="eastAsia" w:ascii="Times New Roman" w:hAnsi="Times New Roman" w:eastAsia="方正小标宋简体"/>
          <w:color w:val="auto"/>
          <w:spacing w:val="10"/>
          <w:sz w:val="44"/>
          <w:szCs w:val="44"/>
          <w:lang w:val="en-US" w:eastAsia="zh-CN"/>
        </w:rPr>
        <w:t>3</w:t>
      </w:r>
      <w:r>
        <w:rPr>
          <w:rFonts w:ascii="Times New Roman" w:hAnsi="Times New Roman" w:eastAsia="方正小标宋简体"/>
          <w:color w:val="auto"/>
          <w:spacing w:val="10"/>
          <w:sz w:val="44"/>
          <w:szCs w:val="44"/>
        </w:rPr>
        <w:t>年政府信息公开工作年度报告</w:t>
      </w:r>
    </w:p>
    <w:p>
      <w:pPr>
        <w:pStyle w:val="5"/>
        <w:spacing w:before="0" w:beforeAutospacing="0" w:after="0" w:afterAutospacing="0" w:line="600" w:lineRule="exact"/>
        <w:ind w:firstLine="880" w:firstLineChars="200"/>
        <w:jc w:val="center"/>
        <w:rPr>
          <w:rFonts w:ascii="Times New Roman" w:hAnsi="Times New Roman" w:eastAsia="方正小标宋简体"/>
          <w:color w:val="auto"/>
          <w:sz w:val="44"/>
          <w:szCs w:val="44"/>
        </w:rPr>
      </w:pPr>
    </w:p>
    <w:p>
      <w:pPr>
        <w:pStyle w:val="5"/>
        <w:spacing w:before="0" w:beforeAutospacing="0" w:after="0" w:afterAutospacing="0" w:line="600" w:lineRule="exact"/>
        <w:ind w:firstLine="640" w:firstLineChars="200"/>
        <w:jc w:val="both"/>
        <w:rPr>
          <w:rFonts w:hint="eastAsia" w:ascii="仿宋_GB2312" w:eastAsia="仿宋_GB2312"/>
          <w:color w:val="auto"/>
          <w:sz w:val="32"/>
          <w:szCs w:val="32"/>
          <w:lang w:eastAsia="zh-CN"/>
        </w:rPr>
      </w:pPr>
      <w:r>
        <w:rPr>
          <w:rFonts w:hint="eastAsia" w:ascii="仿宋_GB2312" w:eastAsia="仿宋_GB2312"/>
          <w:color w:val="auto"/>
          <w:sz w:val="32"/>
          <w:szCs w:val="32"/>
        </w:rPr>
        <w:t>根据《中华人民共和国政府信息公开条例》，特向社会公布202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本机关政府信息公开工作年度报告。全文包括：年度报告应当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年1月1日起至202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年12月31日止。</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一、总体情况</w:t>
      </w:r>
    </w:p>
    <w:p>
      <w:pPr>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2023年，泰山区商务局认真贯彻落实《中华人民共和国政府信息公开条例》中的有关规定，积极推进商务领域信息公开工作，以公开促落实、以公开促规范、以公开促服务，现将有关情况报告如下：</w:t>
      </w:r>
    </w:p>
    <w:p>
      <w:pPr>
        <w:numPr>
          <w:ilvl w:val="0"/>
          <w:numId w:val="0"/>
        </w:numPr>
        <w:ind w:firstLine="643" w:firstLineChars="200"/>
        <w:rPr>
          <w:rFonts w:hint="eastAsia" w:ascii="仿宋_GB2312" w:eastAsia="仿宋_GB2312"/>
          <w:color w:val="auto"/>
          <w:sz w:val="32"/>
          <w:szCs w:val="32"/>
        </w:rPr>
      </w:pPr>
      <w:r>
        <w:rPr>
          <w:rFonts w:hint="eastAsia" w:ascii="仿宋_GB2312" w:eastAsia="仿宋_GB2312"/>
          <w:b/>
          <w:bCs/>
          <w:color w:val="auto"/>
          <w:sz w:val="32"/>
          <w:szCs w:val="32"/>
          <w:lang w:val="en-US" w:eastAsia="zh-CN"/>
        </w:rPr>
        <w:t>1.</w:t>
      </w:r>
      <w:r>
        <w:rPr>
          <w:rFonts w:ascii="仿宋_GB2312" w:eastAsia="仿宋_GB2312"/>
          <w:b/>
          <w:bCs/>
          <w:color w:val="auto"/>
          <w:sz w:val="32"/>
          <w:szCs w:val="32"/>
        </w:rPr>
        <w:t>主动公开</w:t>
      </w:r>
      <w:r>
        <w:rPr>
          <w:rFonts w:hint="eastAsia" w:ascii="仿宋_GB2312" w:eastAsia="仿宋_GB2312"/>
          <w:b/>
          <w:bCs/>
          <w:color w:val="auto"/>
          <w:sz w:val="32"/>
          <w:szCs w:val="32"/>
        </w:rPr>
        <w:t>。</w:t>
      </w:r>
      <w:r>
        <w:rPr>
          <w:rFonts w:hint="eastAsia" w:ascii="仿宋_GB2312" w:eastAsia="仿宋_GB2312"/>
          <w:color w:val="auto"/>
          <w:sz w:val="32"/>
          <w:szCs w:val="32"/>
          <w:lang w:val="en-US" w:eastAsia="zh-CN"/>
        </w:rPr>
        <w:t>2023年，泰山区商务局通过泰山区人民政府网站政务信息公开专栏主动公开信息76条，其中要闻动态类8条，履职依据类5条，机构职能类15条，规划信息类1条，财政预决算2条，权责清单1条，行政权力运行公开31条，应急管理2条，其他法定信息10条，重点领域信息公开1条。</w:t>
      </w:r>
    </w:p>
    <w:p>
      <w:pPr>
        <w:numPr>
          <w:ilvl w:val="0"/>
          <w:numId w:val="0"/>
        </w:numPr>
        <w:ind w:firstLine="643" w:firstLineChars="200"/>
        <w:rPr>
          <w:rFonts w:hint="default" w:ascii="仿宋_GB2312" w:eastAsia="仿宋_GB2312"/>
          <w:color w:val="auto"/>
          <w:sz w:val="32"/>
          <w:szCs w:val="32"/>
          <w:lang w:val="en-US" w:eastAsia="zh-CN"/>
        </w:rPr>
      </w:pPr>
      <w:r>
        <w:rPr>
          <w:rFonts w:ascii="仿宋_GB2312" w:eastAsia="仿宋_GB2312"/>
          <w:b/>
          <w:bCs/>
          <w:color w:val="auto"/>
          <w:sz w:val="32"/>
          <w:szCs w:val="32"/>
        </w:rPr>
        <w:t>2.依申请公开</w:t>
      </w:r>
      <w:r>
        <w:rPr>
          <w:rFonts w:hint="eastAsia" w:ascii="仿宋_GB2312" w:eastAsia="仿宋_GB2312"/>
          <w:b/>
          <w:bCs/>
          <w:color w:val="auto"/>
          <w:sz w:val="32"/>
          <w:szCs w:val="32"/>
        </w:rPr>
        <w:t>。</w:t>
      </w:r>
      <w:r>
        <w:rPr>
          <w:rFonts w:hint="eastAsia" w:ascii="仿宋_GB2312" w:eastAsia="仿宋_GB2312"/>
          <w:color w:val="auto"/>
          <w:sz w:val="32"/>
          <w:szCs w:val="32"/>
          <w:lang w:val="en-US" w:eastAsia="zh-CN"/>
        </w:rPr>
        <w:t>2023年，泰山区商务局未收到政府信息公开申请，依申请公开信息0条。</w:t>
      </w:r>
    </w:p>
    <w:p>
      <w:pPr>
        <w:ind w:firstLine="643" w:firstLineChars="200"/>
        <w:rPr>
          <w:rFonts w:hint="eastAsia" w:ascii="仿宋_GB2312" w:eastAsia="仿宋_GB2312"/>
          <w:color w:val="auto"/>
          <w:sz w:val="32"/>
          <w:szCs w:val="32"/>
          <w:lang w:val="en-US" w:eastAsia="zh-CN"/>
        </w:rPr>
      </w:pPr>
      <w:r>
        <w:rPr>
          <w:rFonts w:ascii="仿宋_GB2312" w:eastAsia="仿宋_GB2312"/>
          <w:b/>
          <w:bCs/>
          <w:color w:val="auto"/>
          <w:sz w:val="32"/>
          <w:szCs w:val="32"/>
        </w:rPr>
        <w:t>3.政府信息管理</w:t>
      </w:r>
      <w:r>
        <w:rPr>
          <w:rFonts w:hint="eastAsia" w:ascii="仿宋_GB2312" w:eastAsia="仿宋_GB2312"/>
          <w:b/>
          <w:bCs/>
          <w:color w:val="auto"/>
          <w:sz w:val="32"/>
          <w:szCs w:val="32"/>
        </w:rPr>
        <w:t>。</w:t>
      </w:r>
      <w:r>
        <w:rPr>
          <w:rFonts w:hint="eastAsia" w:ascii="仿宋_GB2312" w:eastAsia="仿宋_GB2312"/>
          <w:color w:val="auto"/>
          <w:sz w:val="32"/>
          <w:szCs w:val="32"/>
          <w:lang w:val="en-US" w:eastAsia="zh-CN"/>
        </w:rPr>
        <w:t>泰山区商务局高度重视，建立了政务信息公开全流程管理制度，确保信息公开有章可循。加强对全体人员培训，提高政务信息发布、推送、查询、管理利用等方面的工作能力，定期修改账户密码，提高安全风险防范能力。</w:t>
      </w:r>
    </w:p>
    <w:p>
      <w:pPr>
        <w:ind w:firstLine="643" w:firstLineChars="200"/>
        <w:rPr>
          <w:rFonts w:hint="default" w:ascii="仿宋_GB2312" w:eastAsia="仿宋_GB2312"/>
          <w:color w:val="auto"/>
          <w:sz w:val="32"/>
          <w:szCs w:val="32"/>
          <w:lang w:eastAsia="zh-CN"/>
        </w:rPr>
      </w:pPr>
      <w:r>
        <w:rPr>
          <w:rFonts w:ascii="仿宋_GB2312" w:eastAsia="仿宋_GB2312"/>
          <w:b/>
          <w:bCs/>
          <w:color w:val="auto"/>
          <w:sz w:val="32"/>
          <w:szCs w:val="32"/>
        </w:rPr>
        <w:t>4.</w:t>
      </w:r>
      <w:r>
        <w:rPr>
          <w:rFonts w:hint="eastAsia" w:ascii="仿宋_GB2312" w:eastAsia="仿宋_GB2312"/>
          <w:b/>
          <w:bCs/>
          <w:color w:val="auto"/>
          <w:sz w:val="32"/>
          <w:szCs w:val="32"/>
        </w:rPr>
        <w:t>政府信息公开</w:t>
      </w:r>
      <w:r>
        <w:rPr>
          <w:rFonts w:ascii="仿宋_GB2312" w:eastAsia="仿宋_GB2312"/>
          <w:b/>
          <w:bCs/>
          <w:color w:val="auto"/>
          <w:sz w:val="32"/>
          <w:szCs w:val="32"/>
        </w:rPr>
        <w:t>平台建设</w:t>
      </w:r>
      <w:r>
        <w:rPr>
          <w:rFonts w:hint="eastAsia" w:ascii="仿宋_GB2312" w:eastAsia="仿宋_GB2312"/>
          <w:b/>
          <w:bCs/>
          <w:color w:val="auto"/>
          <w:sz w:val="32"/>
          <w:szCs w:val="32"/>
        </w:rPr>
        <w:t>。</w:t>
      </w:r>
      <w:r>
        <w:rPr>
          <w:rFonts w:hint="eastAsia" w:ascii="仿宋_GB2312" w:eastAsia="仿宋_GB2312"/>
          <w:color w:val="auto"/>
          <w:sz w:val="32"/>
          <w:szCs w:val="32"/>
          <w:lang w:val="en-US" w:eastAsia="zh-CN"/>
        </w:rPr>
        <w:t>按照区政府统一要求，通过泰山区人民政府网站及时发布商务领域相关信息，保证</w:t>
      </w:r>
      <w:r>
        <w:rPr>
          <w:rFonts w:hint="default" w:ascii="仿宋_GB2312" w:eastAsia="仿宋_GB2312"/>
          <w:color w:val="auto"/>
          <w:sz w:val="32"/>
          <w:szCs w:val="32"/>
          <w:lang w:eastAsia="zh-CN"/>
        </w:rPr>
        <w:t>政府信息公开工作依法有序开展。</w:t>
      </w:r>
    </w:p>
    <w:p>
      <w:pPr>
        <w:ind w:firstLine="643" w:firstLineChars="200"/>
        <w:rPr>
          <w:rFonts w:hint="eastAsia" w:ascii="仿宋_GB2312" w:eastAsia="仿宋_GB2312"/>
          <w:color w:val="auto"/>
          <w:sz w:val="32"/>
          <w:szCs w:val="32"/>
          <w:lang w:val="en-US" w:eastAsia="zh-CN"/>
        </w:rPr>
      </w:pPr>
      <w:r>
        <w:rPr>
          <w:rFonts w:ascii="仿宋_GB2312" w:eastAsia="仿宋_GB2312"/>
          <w:b/>
          <w:bCs/>
          <w:color w:val="auto"/>
          <w:sz w:val="32"/>
          <w:szCs w:val="32"/>
        </w:rPr>
        <w:t>5.监督保障</w:t>
      </w:r>
      <w:r>
        <w:rPr>
          <w:rFonts w:hint="eastAsia" w:ascii="仿宋_GB2312" w:eastAsia="仿宋_GB2312"/>
          <w:b/>
          <w:bCs/>
          <w:color w:val="auto"/>
          <w:sz w:val="32"/>
          <w:szCs w:val="32"/>
        </w:rPr>
        <w:t>。</w:t>
      </w:r>
      <w:r>
        <w:rPr>
          <w:rFonts w:hint="eastAsia" w:ascii="仿宋_GB2312" w:eastAsia="仿宋_GB2312"/>
          <w:color w:val="auto"/>
          <w:sz w:val="32"/>
          <w:szCs w:val="32"/>
          <w:lang w:val="en-US" w:eastAsia="zh-CN"/>
        </w:rPr>
        <w:t>按照公正、公平、便民原则，真实、全面、准确公开政府信息，畅通举报电话、邮箱等投诉渠道，接受社会公众监督，努力提升</w:t>
      </w:r>
      <w:r>
        <w:rPr>
          <w:rFonts w:hint="default" w:ascii="仿宋_GB2312" w:eastAsia="仿宋_GB2312"/>
          <w:color w:val="auto"/>
          <w:sz w:val="32"/>
          <w:szCs w:val="32"/>
          <w:lang w:eastAsia="zh-CN"/>
        </w:rPr>
        <w:t>商务</w:t>
      </w:r>
      <w:r>
        <w:rPr>
          <w:rFonts w:hint="eastAsia" w:ascii="仿宋_GB2312" w:eastAsia="仿宋_GB2312"/>
          <w:color w:val="auto"/>
          <w:sz w:val="32"/>
          <w:szCs w:val="32"/>
          <w:lang w:val="en-US" w:eastAsia="zh-CN"/>
        </w:rPr>
        <w:t>服务水平。   </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二、</w:t>
      </w:r>
      <w:r>
        <w:rPr>
          <w:rFonts w:ascii="黑体" w:hAnsi="黑体" w:eastAsia="黑体"/>
          <w:color w:val="auto"/>
          <w:sz w:val="32"/>
          <w:szCs w:val="32"/>
        </w:rPr>
        <w:t>主动公开政府信息情况</w:t>
      </w:r>
    </w:p>
    <w:p>
      <w:pPr>
        <w:rPr>
          <w:rFonts w:ascii="黑体" w:hAnsi="黑体" w:eastAsia="黑体"/>
          <w:color w:val="auto"/>
          <w:sz w:val="32"/>
          <w:szCs w:val="32"/>
        </w:rPr>
      </w:pPr>
    </w:p>
    <w:tbl>
      <w:tblPr>
        <w:tblStyle w:val="6"/>
        <w:tblW w:w="5000" w:type="pct"/>
        <w:tblInd w:w="0" w:type="dxa"/>
        <w:tblLayout w:type="autofit"/>
        <w:tblCellMar>
          <w:top w:w="0" w:type="dxa"/>
          <w:left w:w="108" w:type="dxa"/>
          <w:bottom w:w="0" w:type="dxa"/>
          <w:right w:w="108" w:type="dxa"/>
        </w:tblCellMar>
      </w:tblPr>
      <w:tblGrid>
        <w:gridCol w:w="2236"/>
        <w:gridCol w:w="2236"/>
        <w:gridCol w:w="2237"/>
        <w:gridCol w:w="2237"/>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default" w:ascii="仿宋_GB2312" w:hAnsi="宋体" w:eastAsia="仿宋_GB2312" w:cs="宋体"/>
                <w:color w:val="000000"/>
                <w:kern w:val="0"/>
                <w:szCs w:val="21"/>
              </w:rPr>
            </w:pPr>
            <w:r>
              <w:rPr>
                <w:rFonts w:hint="default" w:ascii="仿宋_GB2312" w:hAnsi="宋体" w:eastAsia="仿宋_GB2312" w:cs="宋体"/>
                <w:color w:val="000000"/>
                <w:kern w:val="0"/>
                <w:szCs w:val="21"/>
              </w:rPr>
              <w:t xml:space="preserve">         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default"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hint="default" w:ascii="仿宋_GB2312" w:hAnsi="宋体" w:eastAsia="仿宋_GB2312" w:cs="宋体"/>
                <w:color w:val="000000"/>
                <w:kern w:val="0"/>
                <w:szCs w:val="21"/>
              </w:rPr>
              <w:t xml:space="preserve">      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default" w:ascii="仿宋_GB2312" w:hAnsi="Calibri" w:eastAsia="仿宋_GB2312" w:cs="Calibri"/>
                <w:color w:val="000000"/>
                <w:kern w:val="0"/>
                <w:szCs w:val="21"/>
              </w:rPr>
            </w:pPr>
            <w:r>
              <w:rPr>
                <w:rFonts w:hint="eastAsia" w:ascii="仿宋_GB2312" w:hAnsi="Calibri" w:eastAsia="仿宋_GB2312" w:cs="Calibri"/>
                <w:color w:val="000000"/>
                <w:kern w:val="0"/>
                <w:szCs w:val="21"/>
              </w:rPr>
              <w:t>　</w:t>
            </w:r>
            <w:r>
              <w:rPr>
                <w:rFonts w:hint="default" w:ascii="仿宋_GB2312" w:hAnsi="Calibri" w:eastAsia="仿宋_GB2312" w:cs="Calibri"/>
                <w:color w:val="000000"/>
                <w:kern w:val="0"/>
                <w:szCs w:val="21"/>
              </w:rPr>
              <w:t xml:space="preserve">       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default"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hint="default" w:ascii="仿宋_GB2312" w:hAnsi="宋体" w:eastAsia="仿宋_GB2312" w:cs="宋体"/>
                <w:color w:val="000000"/>
                <w:kern w:val="0"/>
                <w:szCs w:val="21"/>
              </w:rPr>
              <w:t xml:space="preserve">     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default"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hint="default" w:ascii="仿宋_GB2312" w:hAnsi="宋体" w:eastAsia="仿宋_GB2312" w:cs="宋体"/>
                <w:color w:val="000000"/>
                <w:kern w:val="0"/>
                <w:szCs w:val="21"/>
              </w:rPr>
              <w:t xml:space="preserve">      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default" w:ascii="仿宋_GB2312" w:hAnsi="Calibri" w:eastAsia="仿宋_GB2312" w:cs="Calibri"/>
                <w:color w:val="000000"/>
                <w:kern w:val="0"/>
                <w:szCs w:val="21"/>
              </w:rPr>
            </w:pPr>
            <w:r>
              <w:rPr>
                <w:rFonts w:hint="eastAsia" w:ascii="仿宋_GB2312" w:hAnsi="Calibri" w:eastAsia="仿宋_GB2312" w:cs="Calibri"/>
                <w:color w:val="000000"/>
                <w:kern w:val="0"/>
                <w:szCs w:val="21"/>
              </w:rPr>
              <w:t>　</w:t>
            </w:r>
            <w:r>
              <w:rPr>
                <w:rFonts w:hint="default" w:ascii="仿宋_GB2312" w:hAnsi="Calibri" w:eastAsia="仿宋_GB2312" w:cs="Calibri"/>
                <w:color w:val="000000"/>
                <w:kern w:val="0"/>
                <w:szCs w:val="21"/>
              </w:rPr>
              <w:t xml:space="preserve">       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 xml:space="preserve">                         2</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hint="default" w:ascii="仿宋_GB2312" w:hAnsi="宋体" w:eastAsia="仿宋_GB2312" w:cs="宋体"/>
                <w:color w:val="000000"/>
                <w:kern w:val="0"/>
                <w:szCs w:val="21"/>
              </w:rPr>
              <w:t xml:space="preserve">                         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hint="default" w:ascii="仿宋_GB2312" w:hAnsi="宋体" w:eastAsia="仿宋_GB2312" w:cs="宋体"/>
                <w:color w:val="000000"/>
                <w:kern w:val="0"/>
                <w:szCs w:val="21"/>
              </w:rPr>
              <w:t xml:space="preserve">                         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Calibri" w:eastAsia="仿宋_GB2312" w:cs="Calibri"/>
                <w:color w:val="000000"/>
                <w:kern w:val="0"/>
                <w:szCs w:val="21"/>
              </w:rPr>
            </w:pPr>
            <w:r>
              <w:rPr>
                <w:rFonts w:hint="eastAsia" w:ascii="仿宋_GB2312" w:hAnsi="Calibri" w:eastAsia="仿宋_GB2312" w:cs="Calibri"/>
                <w:color w:val="000000"/>
                <w:kern w:val="0"/>
                <w:szCs w:val="21"/>
              </w:rPr>
              <w:t>　</w:t>
            </w:r>
            <w:r>
              <w:rPr>
                <w:rFonts w:hint="default" w:ascii="仿宋_GB2312" w:hAnsi="Calibri" w:eastAsia="仿宋_GB2312" w:cs="Calibri"/>
                <w:color w:val="000000"/>
                <w:kern w:val="0"/>
                <w:szCs w:val="21"/>
              </w:rPr>
              <w:t xml:space="preserve">                        0</w:t>
            </w:r>
          </w:p>
        </w:tc>
      </w:tr>
    </w:tbl>
    <w:p>
      <w:pPr>
        <w:ind w:firstLine="640" w:firstLineChars="200"/>
        <w:rPr>
          <w:rFonts w:ascii="黑体" w:hAnsi="黑体" w:eastAsia="黑体"/>
          <w:color w:val="auto"/>
          <w:sz w:val="32"/>
          <w:szCs w:val="32"/>
        </w:rPr>
      </w:pPr>
      <w:r>
        <w:rPr>
          <w:rFonts w:hint="eastAsia" w:ascii="黑体" w:hAnsi="黑体" w:eastAsia="黑体"/>
          <w:color w:val="auto"/>
          <w:sz w:val="32"/>
          <w:szCs w:val="32"/>
          <w:lang w:val="en-US" w:eastAsia="zh-CN"/>
        </w:rPr>
        <w:t>三、</w:t>
      </w:r>
      <w:r>
        <w:rPr>
          <w:rFonts w:ascii="黑体" w:hAnsi="黑体" w:eastAsia="黑体"/>
          <w:color w:val="auto"/>
          <w:sz w:val="32"/>
          <w:szCs w:val="32"/>
        </w:rPr>
        <w:t>收到和处理政府信息公开申请情况</w:t>
      </w:r>
    </w:p>
    <w:p>
      <w:pPr>
        <w:pStyle w:val="5"/>
        <w:numPr>
          <w:ilvl w:val="0"/>
          <w:numId w:val="0"/>
        </w:numPr>
        <w:spacing w:before="0" w:beforeAutospacing="0" w:after="0" w:afterAutospacing="0" w:line="600" w:lineRule="exact"/>
        <w:jc w:val="both"/>
        <w:rPr>
          <w:rFonts w:ascii="黑体" w:hAnsi="黑体" w:eastAsia="黑体"/>
          <w:color w:val="auto"/>
          <w:sz w:val="32"/>
          <w:szCs w:val="32"/>
        </w:rPr>
      </w:pP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四、政府信息公开行政复议、行政诉讼情况</w:t>
      </w:r>
    </w:p>
    <w:p>
      <w:pPr>
        <w:pStyle w:val="5"/>
        <w:spacing w:before="0" w:beforeAutospacing="0" w:after="0" w:afterAutospacing="0" w:line="600" w:lineRule="exact"/>
        <w:ind w:firstLine="480" w:firstLineChars="200"/>
        <w:jc w:val="both"/>
        <w:rPr>
          <w:rFonts w:ascii="Times New Roman" w:hAnsi="Times New Roman"/>
          <w:color w:val="auto"/>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r>
    </w:tbl>
    <w:p>
      <w:pPr>
        <w:pStyle w:val="5"/>
        <w:numPr>
          <w:ilvl w:val="0"/>
          <w:numId w:val="1"/>
        </w:numPr>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存在的主要问题及改进情况</w:t>
      </w:r>
    </w:p>
    <w:p>
      <w:pPr>
        <w:pStyle w:val="5"/>
        <w:spacing w:before="0" w:beforeAutospacing="0" w:after="0" w:afterAutospacing="0" w:line="600" w:lineRule="exact"/>
        <w:ind w:firstLine="640" w:firstLineChars="200"/>
        <w:jc w:val="both"/>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2023年，泰山区商务局政务公开方面圆满完成了各项的工作任务，但还是存在单位政务公开培训较少，培训内容单一等不足之处。</w:t>
      </w:r>
    </w:p>
    <w:p>
      <w:pPr>
        <w:pStyle w:val="5"/>
        <w:spacing w:before="0" w:beforeAutospacing="0" w:after="0" w:afterAutospacing="0" w:line="600" w:lineRule="exact"/>
        <w:ind w:firstLine="640" w:firstLineChars="200"/>
        <w:jc w:val="both"/>
        <w:rPr>
          <w:rFonts w:hint="default"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下步举措：一是完善制度，制定全年培训计划，丰富政务培训内容，按时开展培训；二是及时上传发布商务政策、招商活动等新闻，大力宣传各项惠企政策。</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ascii="黑体" w:hAnsi="黑体" w:eastAsia="黑体"/>
          <w:color w:val="auto"/>
          <w:sz w:val="32"/>
          <w:szCs w:val="32"/>
        </w:rPr>
        <w:t>其他需要报告的事项</w:t>
      </w:r>
    </w:p>
    <w:p>
      <w:pPr>
        <w:ind w:firstLine="640" w:firstLineChars="200"/>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1.依据《政府信息公开信息处理费管理办法》收取信息处理费的情况</w:t>
      </w:r>
      <w:r>
        <w:rPr>
          <w:rFonts w:hint="eastAsia" w:ascii="仿宋_GB2312" w:eastAsia="仿宋_GB2312" w:cstheme="minorBidi"/>
          <w:color w:val="auto"/>
          <w:kern w:val="2"/>
          <w:sz w:val="32"/>
          <w:szCs w:val="32"/>
          <w:lang w:val="en-US" w:eastAsia="zh-CN" w:bidi="ar-SA"/>
        </w:rPr>
        <w:t>：</w:t>
      </w:r>
      <w:r>
        <w:rPr>
          <w:rFonts w:hint="eastAsia" w:ascii="仿宋_GB2312" w:eastAsia="仿宋_GB2312" w:hAnsiTheme="minorHAnsi" w:cstheme="minorBidi"/>
          <w:color w:val="auto"/>
          <w:kern w:val="2"/>
          <w:sz w:val="32"/>
          <w:szCs w:val="32"/>
          <w:lang w:val="en-US" w:eastAsia="zh-CN" w:bidi="ar-SA"/>
        </w:rPr>
        <w:t>2023年度，泰山区商务局未收取信息处理费；</w:t>
      </w:r>
    </w:p>
    <w:p>
      <w:pPr>
        <w:ind w:firstLine="640" w:firstLineChars="200"/>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2.本行政机关落实上级年度政务公开工作要点情况</w:t>
      </w:r>
      <w:r>
        <w:rPr>
          <w:rFonts w:hint="eastAsia" w:ascii="仿宋_GB2312" w:eastAsia="仿宋_GB2312" w:cstheme="minorBidi"/>
          <w:color w:val="auto"/>
          <w:kern w:val="2"/>
          <w:sz w:val="32"/>
          <w:szCs w:val="32"/>
          <w:lang w:val="en-US" w:eastAsia="zh-CN" w:bidi="ar-SA"/>
        </w:rPr>
        <w:t>：</w:t>
      </w:r>
      <w:r>
        <w:rPr>
          <w:rFonts w:hint="eastAsia" w:ascii="仿宋_GB2312" w:eastAsia="仿宋_GB2312" w:hAnsiTheme="minorHAnsi" w:cstheme="minorBidi"/>
          <w:color w:val="auto"/>
          <w:kern w:val="2"/>
          <w:sz w:val="32"/>
          <w:szCs w:val="32"/>
          <w:lang w:val="en-US" w:eastAsia="zh-CN" w:bidi="ar-SA"/>
        </w:rPr>
        <w:t>区商务局积极落实区政府办政务公开工作相关要求，进行信息更新，认真抓好落实；</w:t>
      </w:r>
    </w:p>
    <w:p>
      <w:pPr>
        <w:ind w:firstLine="640" w:firstLineChars="200"/>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3.本行政机关人大代表建议和政协提案办理结果公开情况</w:t>
      </w:r>
      <w:r>
        <w:rPr>
          <w:rFonts w:hint="eastAsia" w:ascii="仿宋_GB2312" w:eastAsia="仿宋_GB2312" w:cstheme="minorBidi"/>
          <w:color w:val="auto"/>
          <w:kern w:val="2"/>
          <w:sz w:val="32"/>
          <w:szCs w:val="32"/>
          <w:lang w:val="en-US" w:eastAsia="zh-CN" w:bidi="ar-SA"/>
        </w:rPr>
        <w:t>：</w:t>
      </w:r>
      <w:r>
        <w:rPr>
          <w:rFonts w:hint="eastAsia" w:ascii="仿宋_GB2312" w:eastAsia="仿宋_GB2312" w:hAnsiTheme="minorHAnsi" w:cstheme="minorBidi"/>
          <w:color w:val="auto"/>
          <w:kern w:val="2"/>
          <w:sz w:val="32"/>
          <w:szCs w:val="32"/>
          <w:lang w:val="en-US" w:eastAsia="zh-CN" w:bidi="ar-SA"/>
        </w:rPr>
        <w:t>2023年泰山区商务局共承办人大建议、政协提案9项，其中人大建议0项，政协提案9项；事项涉及招商引资、会展经济、营商环境、物流业发展、电子商务、再生资源回收利用等多个方面。截至目前，我单位负责的建议、提案全部办理完毕，吸收采纳了9条，不予采纳0条，吸收采纳率100%，办结率100%。人大代表、政协委员对办理工作表示满意，所提出的问题得到解决。我单位根据要求及时将人大建议、政协提案办理复文在泰山区人民政府门户网站进行了主动公开，接受社会监督。</w:t>
      </w:r>
    </w:p>
    <w:p>
      <w:pPr>
        <w:ind w:firstLine="640" w:firstLineChars="200"/>
        <w:rPr>
          <w:rFonts w:hint="default" w:ascii="仿宋_GB2312" w:eastAsia="仿宋_GB2312" w:hAnsiTheme="minorHAnsi" w:cstheme="minorBidi"/>
          <w:color w:val="auto"/>
          <w:kern w:val="2"/>
          <w:sz w:val="32"/>
          <w:szCs w:val="32"/>
          <w:lang w:val="en-US" w:eastAsia="zh-CN" w:bidi="ar-SA"/>
        </w:rPr>
      </w:pPr>
      <w:r>
        <w:rPr>
          <w:rFonts w:hint="eastAsia" w:ascii="仿宋_GB2312" w:eastAsia="仿宋_GB2312" w:cstheme="minorBidi"/>
          <w:color w:val="auto"/>
          <w:kern w:val="2"/>
          <w:sz w:val="32"/>
          <w:szCs w:val="32"/>
          <w:lang w:val="en-US" w:eastAsia="zh-CN" w:bidi="ar-SA"/>
        </w:rPr>
        <w:t>4.本行政机关年度政务公开创新情况。一是高度重视，健全机制。区商务局始终坚持把政务公开工作作为重点工作之一，安排专人负责政务网站后台管理，明确各项工作职责，保障政务公开工作的有效落实。二是扎实推进，积极落实。积极参加政务公开培训，充分利用区政府门户网站，按照要求公开财政预决算、业务工作、重点领域信息等内容，确保做好商务局信息公开工作</w:t>
      </w:r>
      <w:bookmarkStart w:id="10" w:name="_GoBack"/>
      <w:bookmarkEnd w:id="10"/>
      <w:r>
        <w:rPr>
          <w:rFonts w:hint="eastAsia" w:ascii="仿宋_GB2312" w:eastAsia="仿宋_GB2312" w:cstheme="minorBidi"/>
          <w:color w:val="auto"/>
          <w:kern w:val="2"/>
          <w:sz w:val="32"/>
          <w:szCs w:val="32"/>
          <w:lang w:val="en-US" w:eastAsia="zh-CN" w:bidi="ar-SA"/>
        </w:rPr>
        <w:t>。</w:t>
      </w: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79AA7"/>
    <w:multiLevelType w:val="singleLevel"/>
    <w:tmpl w:val="DDF79AA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gzYzhlNTIxOTY5MGIzNGYxZjJiN2JlZjZhZDUifQ=="/>
  </w:docVars>
  <w:rsids>
    <w:rsidRoot w:val="009036FB"/>
    <w:rsid w:val="003F5380"/>
    <w:rsid w:val="005F04B3"/>
    <w:rsid w:val="007043DD"/>
    <w:rsid w:val="00725311"/>
    <w:rsid w:val="007C0E41"/>
    <w:rsid w:val="008260F2"/>
    <w:rsid w:val="008510D4"/>
    <w:rsid w:val="008E79FC"/>
    <w:rsid w:val="009036FB"/>
    <w:rsid w:val="00A6635A"/>
    <w:rsid w:val="00A935C0"/>
    <w:rsid w:val="03706356"/>
    <w:rsid w:val="04624A99"/>
    <w:rsid w:val="04661011"/>
    <w:rsid w:val="04BD1BA7"/>
    <w:rsid w:val="064F75F3"/>
    <w:rsid w:val="0BE44893"/>
    <w:rsid w:val="0C197EFD"/>
    <w:rsid w:val="0C886EAB"/>
    <w:rsid w:val="118F7958"/>
    <w:rsid w:val="153C0E2B"/>
    <w:rsid w:val="17600C4E"/>
    <w:rsid w:val="20315E0F"/>
    <w:rsid w:val="20792A83"/>
    <w:rsid w:val="21537630"/>
    <w:rsid w:val="23D952ED"/>
    <w:rsid w:val="265A71CA"/>
    <w:rsid w:val="283D0195"/>
    <w:rsid w:val="2D126E0D"/>
    <w:rsid w:val="2ED9699B"/>
    <w:rsid w:val="31473E7A"/>
    <w:rsid w:val="318E1295"/>
    <w:rsid w:val="364F21ED"/>
    <w:rsid w:val="372142C2"/>
    <w:rsid w:val="38016397"/>
    <w:rsid w:val="388A4CBC"/>
    <w:rsid w:val="3BF75330"/>
    <w:rsid w:val="3FF605CD"/>
    <w:rsid w:val="468B3F91"/>
    <w:rsid w:val="473F5C6F"/>
    <w:rsid w:val="494A7A84"/>
    <w:rsid w:val="4E2F67D9"/>
    <w:rsid w:val="50CD4459"/>
    <w:rsid w:val="540366B0"/>
    <w:rsid w:val="59186333"/>
    <w:rsid w:val="5A775572"/>
    <w:rsid w:val="5AE515A1"/>
    <w:rsid w:val="5EEDC3F8"/>
    <w:rsid w:val="60DA1397"/>
    <w:rsid w:val="635D0996"/>
    <w:rsid w:val="65FF0DA3"/>
    <w:rsid w:val="671F2A18"/>
    <w:rsid w:val="6D876F5F"/>
    <w:rsid w:val="76DDF9C0"/>
    <w:rsid w:val="77B81EDB"/>
    <w:rsid w:val="7A387F61"/>
    <w:rsid w:val="7AF79EE2"/>
    <w:rsid w:val="7E5C8C4E"/>
    <w:rsid w:val="7F3F70A9"/>
    <w:rsid w:val="7F7F0ED8"/>
    <w:rsid w:val="7FFEDE2F"/>
    <w:rsid w:val="8FBBAD1D"/>
    <w:rsid w:val="BC375350"/>
    <w:rsid w:val="F77C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qFormat/>
    <w:uiPriority w:val="0"/>
    <w:rPr>
      <w:color w:val="0000FF"/>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Www.Ndeer.Com</Company>
  <Pages>5</Pages>
  <Words>2133</Words>
  <Characters>2190</Characters>
  <Lines>30</Lines>
  <Paragraphs>8</Paragraphs>
  <TotalTime>27</TotalTime>
  <ScaleCrop>false</ScaleCrop>
  <LinksUpToDate>false</LinksUpToDate>
  <CharactersWithSpaces>2344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2020-01-08T02:42:00Z</dcterms:created>
  <dc:creator>Administrator</dc:creator>
  <cp:lastModifiedBy>Sunshine</cp:lastModifiedBy>
  <cp:lastPrinted>2024-01-11T01:52:00Z</cp:lastPrinted>
  <dcterms:modified xsi:type="dcterms:W3CDTF">2024-01-15T06:35:08Z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58FF471F1B06469B8B5FB6C59DE8D488_13</vt:lpwstr>
  </property>
</Properties>
</file>