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center"/>
        <w:rPr>
          <w:rFonts w:ascii="Times New Roman" w:hAnsi="Times New Roman" w:eastAsia="方正小标宋简体"/>
          <w:color w:val="auto"/>
          <w:spacing w:val="10"/>
          <w:sz w:val="44"/>
          <w:szCs w:val="44"/>
        </w:rPr>
      </w:pPr>
      <w:r>
        <w:rPr>
          <w:rFonts w:hint="eastAsia" w:ascii="Times New Roman" w:hAnsi="Times New Roman" w:eastAsia="方正小标宋简体"/>
          <w:color w:val="auto"/>
          <w:spacing w:val="10"/>
          <w:sz w:val="44"/>
          <w:szCs w:val="44"/>
          <w:lang w:val="en-US" w:eastAsia="zh-CN"/>
        </w:rPr>
        <w:t>泰安市泰山区商务局</w:t>
      </w:r>
      <w:r>
        <w:rPr>
          <w:rFonts w:hint="eastAsia" w:ascii="Times New Roman" w:hAnsi="Times New Roman" w:eastAsia="方正小标宋简体"/>
          <w:color w:val="auto"/>
          <w:spacing w:val="10"/>
          <w:sz w:val="44"/>
          <w:szCs w:val="44"/>
        </w:rPr>
        <w:t>202</w:t>
      </w:r>
      <w:r>
        <w:rPr>
          <w:rFonts w:hint="eastAsia" w:ascii="Times New Roman" w:hAnsi="Times New Roman" w:eastAsia="方正小标宋简体"/>
          <w:color w:val="auto"/>
          <w:spacing w:val="10"/>
          <w:sz w:val="44"/>
          <w:szCs w:val="44"/>
          <w:lang w:val="en-US" w:eastAsia="zh-CN"/>
        </w:rPr>
        <w:t>3</w:t>
      </w:r>
      <w:r>
        <w:rPr>
          <w:rFonts w:ascii="Times New Roman" w:hAnsi="Times New Roman" w:eastAsia="方正小标宋简体"/>
          <w:color w:val="auto"/>
          <w:spacing w:val="10"/>
          <w:sz w:val="44"/>
          <w:szCs w:val="44"/>
        </w:rPr>
        <w:t>年政府信息公开工作年度报告</w:t>
      </w:r>
    </w:p>
    <w:p>
      <w:pPr>
        <w:pStyle w:val="5"/>
        <w:spacing w:before="0" w:beforeAutospacing="0" w:after="0" w:afterAutospacing="0" w:line="600" w:lineRule="exact"/>
        <w:ind w:firstLine="880" w:firstLineChars="200"/>
        <w:jc w:val="center"/>
        <w:rPr>
          <w:rFonts w:ascii="Times New Roman" w:hAnsi="Times New Roman" w:eastAsia="方正小标宋简体"/>
          <w:color w:val="auto"/>
          <w:sz w:val="44"/>
          <w:szCs w:val="44"/>
        </w:rPr>
      </w:pPr>
    </w:p>
    <w:p>
      <w:pPr>
        <w:pStyle w:val="5"/>
        <w:spacing w:before="0" w:beforeAutospacing="0" w:after="0" w:afterAutospacing="0" w:line="600" w:lineRule="exact"/>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rPr>
        <w:t>根据《中华人民共和国政府信息公开条例》，特向社会公布202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本机关政府信息公开工作年度报告。全文包括：年度报告应当包括总体情况；行政机关主动公开政府信息的情况；行政机关收到和处理政府信息公开申请的情况；因政府信息公开工作被申请行政复议、提起行政诉讼的情况；政府信息公开工作存在的主要问题及改进情况；其他需要报告的事项。报告中所列数据的统计期限自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年1月1日起至202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年12月31日止。</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一、总体情况</w:t>
      </w:r>
    </w:p>
    <w:p>
      <w:pPr>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2023年，泰山区商务局认真贯彻落实《中华人民共和国政府信息公开条例》中的有关规定，积极推进商务领域信息公开工作，以公开促落实、以公开促规范、以公开促服务，现将有关情况报告如下：</w:t>
      </w:r>
    </w:p>
    <w:p>
      <w:pPr>
        <w:numPr>
          <w:ilvl w:val="0"/>
          <w:numId w:val="0"/>
        </w:numPr>
        <w:ind w:firstLine="643" w:firstLineChars="200"/>
        <w:rPr>
          <w:rFonts w:hint="eastAsia" w:ascii="仿宋_GB2312" w:eastAsia="仿宋_GB2312"/>
          <w:color w:val="auto"/>
          <w:sz w:val="32"/>
          <w:szCs w:val="32"/>
        </w:rPr>
      </w:pPr>
      <w:r>
        <w:rPr>
          <w:rFonts w:hint="eastAsia" w:ascii="仿宋_GB2312" w:eastAsia="仿宋_GB2312"/>
          <w:b/>
          <w:bCs/>
          <w:color w:val="auto"/>
          <w:sz w:val="32"/>
          <w:szCs w:val="32"/>
          <w:lang w:val="en-US" w:eastAsia="zh-CN"/>
        </w:rPr>
        <w:t>1.</w:t>
      </w:r>
      <w:r>
        <w:rPr>
          <w:rFonts w:ascii="仿宋_GB2312" w:eastAsia="仿宋_GB2312"/>
          <w:b/>
          <w:bCs/>
          <w:color w:val="auto"/>
          <w:sz w:val="32"/>
          <w:szCs w:val="32"/>
        </w:rPr>
        <w:t>主动公开</w:t>
      </w:r>
      <w:r>
        <w:rPr>
          <w:rFonts w:hint="eastAsia" w:ascii="仿宋_GB2312" w:eastAsia="仿宋_GB2312"/>
          <w:b/>
          <w:bCs/>
          <w:color w:val="auto"/>
          <w:sz w:val="32"/>
          <w:szCs w:val="32"/>
        </w:rPr>
        <w:t>。</w:t>
      </w:r>
      <w:r>
        <w:rPr>
          <w:rFonts w:hint="eastAsia" w:ascii="仿宋_GB2312" w:eastAsia="仿宋_GB2312"/>
          <w:color w:val="auto"/>
          <w:sz w:val="32"/>
          <w:szCs w:val="32"/>
          <w:lang w:val="en-US" w:eastAsia="zh-CN"/>
        </w:rPr>
        <w:t>2023年，泰山区商务局通过泰山区人民政府网站政务信息公开专栏主动公开信息76条，其中要闻动态类8条，履职依据类5条，机构职能类15条，规划信息类1条，财政预决算2条，权责清单1条，行政权力运行公开31条，应急管理2条，其他法定信息10条，重点领域信息公开1条。</w:t>
      </w:r>
    </w:p>
    <w:p>
      <w:pPr>
        <w:numPr>
          <w:ilvl w:val="0"/>
          <w:numId w:val="0"/>
        </w:numPr>
        <w:ind w:firstLine="643" w:firstLineChars="200"/>
        <w:rPr>
          <w:rFonts w:hint="default" w:ascii="仿宋_GB2312" w:eastAsia="仿宋_GB2312"/>
          <w:color w:val="auto"/>
          <w:sz w:val="32"/>
          <w:szCs w:val="32"/>
          <w:lang w:val="en-US" w:eastAsia="zh-CN"/>
        </w:rPr>
      </w:pPr>
      <w:r>
        <w:rPr>
          <w:rFonts w:ascii="仿宋_GB2312" w:eastAsia="仿宋_GB2312"/>
          <w:b/>
          <w:bCs/>
          <w:color w:val="auto"/>
          <w:sz w:val="32"/>
          <w:szCs w:val="32"/>
        </w:rPr>
        <w:t>2.依申请公开</w:t>
      </w:r>
      <w:r>
        <w:rPr>
          <w:rFonts w:hint="eastAsia" w:ascii="仿宋_GB2312" w:eastAsia="仿宋_GB2312"/>
          <w:b/>
          <w:bCs/>
          <w:color w:val="auto"/>
          <w:sz w:val="32"/>
          <w:szCs w:val="32"/>
        </w:rPr>
        <w:t>。</w:t>
      </w:r>
      <w:r>
        <w:rPr>
          <w:rFonts w:hint="eastAsia" w:ascii="仿宋_GB2312" w:eastAsia="仿宋_GB2312"/>
          <w:color w:val="auto"/>
          <w:sz w:val="32"/>
          <w:szCs w:val="32"/>
          <w:lang w:val="en-US" w:eastAsia="zh-CN"/>
        </w:rPr>
        <w:t>2023年，泰山区商务局未收到政府信息公开申请，依申请公开信息0条。</w:t>
      </w:r>
    </w:p>
    <w:p>
      <w:pPr>
        <w:ind w:firstLine="643" w:firstLineChars="200"/>
        <w:rPr>
          <w:rFonts w:hint="eastAsia" w:ascii="仿宋_GB2312" w:eastAsia="仿宋_GB2312"/>
          <w:color w:val="auto"/>
          <w:sz w:val="32"/>
          <w:szCs w:val="32"/>
          <w:lang w:val="en-US" w:eastAsia="zh-CN"/>
        </w:rPr>
      </w:pPr>
      <w:r>
        <w:rPr>
          <w:rFonts w:ascii="仿宋_GB2312" w:eastAsia="仿宋_GB2312"/>
          <w:b/>
          <w:bCs/>
          <w:color w:val="auto"/>
          <w:sz w:val="32"/>
          <w:szCs w:val="32"/>
        </w:rPr>
        <w:t>3.政府信息管理</w:t>
      </w:r>
      <w:r>
        <w:rPr>
          <w:rFonts w:hint="eastAsia" w:ascii="仿宋_GB2312" w:eastAsia="仿宋_GB2312"/>
          <w:b/>
          <w:bCs/>
          <w:color w:val="auto"/>
          <w:sz w:val="32"/>
          <w:szCs w:val="32"/>
        </w:rPr>
        <w:t>。</w:t>
      </w:r>
      <w:r>
        <w:rPr>
          <w:rFonts w:hint="eastAsia" w:ascii="仿宋_GB2312" w:eastAsia="仿宋_GB2312"/>
          <w:color w:val="auto"/>
          <w:sz w:val="32"/>
          <w:szCs w:val="32"/>
          <w:lang w:val="en-US" w:eastAsia="zh-CN"/>
        </w:rPr>
        <w:t>泰山区商务局高度重视，建立了政务信息公开全流程管理制度，确保信息公开有章可循。加强对全体人员培训，提高政务信息发布、推送、查询、管理利用等方面的工作能力，定期修改账户密码，提高安全风险防范能力。</w:t>
      </w:r>
    </w:p>
    <w:p>
      <w:pPr>
        <w:ind w:firstLine="643" w:firstLineChars="200"/>
        <w:rPr>
          <w:rFonts w:hint="default" w:ascii="仿宋_GB2312" w:eastAsia="仿宋_GB2312"/>
          <w:color w:val="auto"/>
          <w:sz w:val="32"/>
          <w:szCs w:val="32"/>
          <w:lang w:eastAsia="zh-CN"/>
        </w:rPr>
      </w:pPr>
      <w:r>
        <w:rPr>
          <w:rFonts w:ascii="仿宋_GB2312" w:eastAsia="仿宋_GB2312"/>
          <w:b/>
          <w:bCs/>
          <w:color w:val="auto"/>
          <w:sz w:val="32"/>
          <w:szCs w:val="32"/>
        </w:rPr>
        <w:t>4.</w:t>
      </w:r>
      <w:r>
        <w:rPr>
          <w:rFonts w:hint="eastAsia" w:ascii="仿宋_GB2312" w:eastAsia="仿宋_GB2312"/>
          <w:b/>
          <w:bCs/>
          <w:color w:val="auto"/>
          <w:sz w:val="32"/>
          <w:szCs w:val="32"/>
        </w:rPr>
        <w:t>政府信息公开</w:t>
      </w:r>
      <w:r>
        <w:rPr>
          <w:rFonts w:ascii="仿宋_GB2312" w:eastAsia="仿宋_GB2312"/>
          <w:b/>
          <w:bCs/>
          <w:color w:val="auto"/>
          <w:sz w:val="32"/>
          <w:szCs w:val="32"/>
        </w:rPr>
        <w:t>平台建设</w:t>
      </w:r>
      <w:r>
        <w:rPr>
          <w:rFonts w:hint="eastAsia" w:ascii="仿宋_GB2312" w:eastAsia="仿宋_GB2312"/>
          <w:b/>
          <w:bCs/>
          <w:color w:val="auto"/>
          <w:sz w:val="32"/>
          <w:szCs w:val="32"/>
        </w:rPr>
        <w:t>。</w:t>
      </w:r>
      <w:r>
        <w:rPr>
          <w:rFonts w:hint="eastAsia" w:ascii="仿宋_GB2312" w:eastAsia="仿宋_GB2312"/>
          <w:color w:val="auto"/>
          <w:sz w:val="32"/>
          <w:szCs w:val="32"/>
          <w:lang w:val="en-US" w:eastAsia="zh-CN"/>
        </w:rPr>
        <w:t>按照区政府统一要求，通过泰山区人民政府网站及时发布商务领域相关信息，保证</w:t>
      </w:r>
      <w:r>
        <w:rPr>
          <w:rFonts w:hint="default" w:ascii="仿宋_GB2312" w:eastAsia="仿宋_GB2312"/>
          <w:color w:val="auto"/>
          <w:sz w:val="32"/>
          <w:szCs w:val="32"/>
          <w:lang w:eastAsia="zh-CN"/>
        </w:rPr>
        <w:t>政府信息公开工作依法有序开展。</w:t>
      </w:r>
    </w:p>
    <w:p>
      <w:pPr>
        <w:ind w:firstLine="643" w:firstLineChars="200"/>
        <w:rPr>
          <w:rFonts w:hint="eastAsia" w:ascii="仿宋_GB2312" w:eastAsia="仿宋_GB2312"/>
          <w:color w:val="auto"/>
          <w:sz w:val="32"/>
          <w:szCs w:val="32"/>
          <w:lang w:val="en-US" w:eastAsia="zh-CN"/>
        </w:rPr>
      </w:pPr>
      <w:r>
        <w:rPr>
          <w:rFonts w:ascii="仿宋_GB2312" w:eastAsia="仿宋_GB2312"/>
          <w:b/>
          <w:bCs/>
          <w:color w:val="auto"/>
          <w:sz w:val="32"/>
          <w:szCs w:val="32"/>
        </w:rPr>
        <w:t>5.监督保障</w:t>
      </w:r>
      <w:r>
        <w:rPr>
          <w:rFonts w:hint="eastAsia" w:ascii="仿宋_GB2312" w:eastAsia="仿宋_GB2312"/>
          <w:b/>
          <w:bCs/>
          <w:color w:val="auto"/>
          <w:sz w:val="32"/>
          <w:szCs w:val="32"/>
        </w:rPr>
        <w:t>。</w:t>
      </w:r>
      <w:r>
        <w:rPr>
          <w:rFonts w:hint="eastAsia" w:ascii="仿宋_GB2312" w:eastAsia="仿宋_GB2312"/>
          <w:color w:val="auto"/>
          <w:sz w:val="32"/>
          <w:szCs w:val="32"/>
          <w:lang w:val="en-US" w:eastAsia="zh-CN"/>
        </w:rPr>
        <w:t>按照公正、公平、便民原则，真实、全面、准确公开政府信息，畅通举报电话、邮箱等投诉渠道，接受社会公众监督，努力提升</w:t>
      </w:r>
      <w:r>
        <w:rPr>
          <w:rFonts w:hint="default" w:ascii="仿宋_GB2312" w:eastAsia="仿宋_GB2312"/>
          <w:color w:val="auto"/>
          <w:sz w:val="32"/>
          <w:szCs w:val="32"/>
          <w:lang w:eastAsia="zh-CN"/>
        </w:rPr>
        <w:t>商务</w:t>
      </w:r>
      <w:r>
        <w:rPr>
          <w:rFonts w:hint="eastAsia" w:ascii="仿宋_GB2312" w:eastAsia="仿宋_GB2312"/>
          <w:color w:val="auto"/>
          <w:sz w:val="32"/>
          <w:szCs w:val="32"/>
          <w:lang w:val="en-US" w:eastAsia="zh-CN"/>
        </w:rPr>
        <w:t>服务水平。   </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ascii="黑体" w:hAnsi="黑体" w:eastAsia="黑体"/>
          <w:color w:val="auto"/>
          <w:sz w:val="32"/>
          <w:szCs w:val="32"/>
        </w:rPr>
        <w:t>主动公开政府信息情况</w:t>
      </w:r>
    </w:p>
    <w:p>
      <w:pPr>
        <w:rPr>
          <w:rFonts w:ascii="黑体" w:hAnsi="黑体" w:eastAsia="黑体"/>
          <w:color w:val="auto"/>
          <w:sz w:val="32"/>
          <w:szCs w:val="32"/>
        </w:rPr>
      </w:pPr>
    </w:p>
    <w:tbl>
      <w:tblPr>
        <w:tblStyle w:val="6"/>
        <w:tblW w:w="5000" w:type="pct"/>
        <w:tblInd w:w="0" w:type="dxa"/>
        <w:tblLayout w:type="autofit"/>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default" w:ascii="仿宋_GB2312" w:hAnsi="宋体" w:eastAsia="仿宋_GB2312" w:cs="宋体"/>
                <w:color w:val="000000"/>
                <w:kern w:val="0"/>
                <w:szCs w:val="21"/>
              </w:rPr>
            </w:pPr>
            <w:r>
              <w:rPr>
                <w:rFonts w:hint="default" w:ascii="仿宋_GB2312" w:hAnsi="宋体" w:eastAsia="仿宋_GB2312" w:cs="宋体"/>
                <w:color w:val="000000"/>
                <w:kern w:val="0"/>
                <w:szCs w:val="21"/>
              </w:rPr>
              <w:t xml:space="preserve">         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default" w:ascii="仿宋_GB2312" w:hAnsi="宋体" w:eastAsia="仿宋_GB2312" w:cs="宋体"/>
                <w:color w:val="000000"/>
                <w:kern w:val="0"/>
                <w:szCs w:val="21"/>
              </w:rPr>
              <w:t xml:space="preserve">      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default" w:ascii="仿宋_GB2312" w:hAnsi="Calibri" w:eastAsia="仿宋_GB2312" w:cs="Calibri"/>
                <w:color w:val="000000"/>
                <w:kern w:val="0"/>
                <w:szCs w:val="21"/>
              </w:rPr>
            </w:pPr>
            <w:r>
              <w:rPr>
                <w:rFonts w:hint="eastAsia" w:ascii="仿宋_GB2312" w:hAnsi="Calibri" w:eastAsia="仿宋_GB2312" w:cs="Calibri"/>
                <w:color w:val="000000"/>
                <w:kern w:val="0"/>
                <w:szCs w:val="21"/>
              </w:rPr>
              <w:t>　</w:t>
            </w:r>
            <w:r>
              <w:rPr>
                <w:rFonts w:hint="default" w:ascii="仿宋_GB2312" w:hAnsi="Calibri" w:eastAsia="仿宋_GB2312" w:cs="Calibri"/>
                <w:color w:val="000000"/>
                <w:kern w:val="0"/>
                <w:szCs w:val="21"/>
              </w:rPr>
              <w:t xml:space="preserve">       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default" w:ascii="仿宋_GB2312" w:hAnsi="宋体" w:eastAsia="仿宋_GB2312" w:cs="宋体"/>
                <w:color w:val="000000"/>
                <w:kern w:val="0"/>
                <w:szCs w:val="21"/>
              </w:rPr>
              <w:t xml:space="preserve">     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default" w:ascii="仿宋_GB2312" w:hAnsi="宋体" w:eastAsia="仿宋_GB2312" w:cs="宋体"/>
                <w:color w:val="000000"/>
                <w:kern w:val="0"/>
                <w:szCs w:val="21"/>
              </w:rPr>
              <w:t xml:space="preserve">      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default" w:ascii="仿宋_GB2312" w:hAnsi="Calibri" w:eastAsia="仿宋_GB2312" w:cs="Calibri"/>
                <w:color w:val="000000"/>
                <w:kern w:val="0"/>
                <w:szCs w:val="21"/>
              </w:rPr>
            </w:pPr>
            <w:r>
              <w:rPr>
                <w:rFonts w:hint="eastAsia" w:ascii="仿宋_GB2312" w:hAnsi="Calibri" w:eastAsia="仿宋_GB2312" w:cs="Calibri"/>
                <w:color w:val="000000"/>
                <w:kern w:val="0"/>
                <w:szCs w:val="21"/>
              </w:rPr>
              <w:t>　</w:t>
            </w:r>
            <w:r>
              <w:rPr>
                <w:rFonts w:hint="default" w:ascii="仿宋_GB2312" w:hAnsi="Calibri" w:eastAsia="仿宋_GB2312" w:cs="Calibri"/>
                <w:color w:val="000000"/>
                <w:kern w:val="0"/>
                <w:szCs w:val="21"/>
              </w:rPr>
              <w:t xml:space="preserve">       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 xml:space="preserve">                         2</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default" w:ascii="仿宋_GB2312" w:hAnsi="宋体" w:eastAsia="仿宋_GB2312" w:cs="宋体"/>
                <w:color w:val="000000"/>
                <w:kern w:val="0"/>
                <w:szCs w:val="21"/>
              </w:rPr>
              <w:t xml:space="preserve">                         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default" w:ascii="仿宋_GB2312" w:hAnsi="宋体" w:eastAsia="仿宋_GB2312" w:cs="宋体"/>
                <w:color w:val="000000"/>
                <w:kern w:val="0"/>
                <w:szCs w:val="21"/>
              </w:rPr>
              <w:t xml:space="preserve">                         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default" w:ascii="仿宋_GB2312" w:hAnsi="Calibri" w:eastAsia="仿宋_GB2312" w:cs="Calibri"/>
                <w:color w:val="000000"/>
                <w:kern w:val="0"/>
                <w:szCs w:val="21"/>
              </w:rPr>
            </w:pPr>
            <w:r>
              <w:rPr>
                <w:rFonts w:hint="eastAsia" w:ascii="仿宋_GB2312" w:hAnsi="Calibri" w:eastAsia="仿宋_GB2312" w:cs="Calibri"/>
                <w:color w:val="000000"/>
                <w:kern w:val="0"/>
                <w:szCs w:val="21"/>
              </w:rPr>
              <w:t>　</w:t>
            </w:r>
            <w:r>
              <w:rPr>
                <w:rFonts w:hint="default" w:ascii="仿宋_GB2312" w:hAnsi="Calibri" w:eastAsia="仿宋_GB2312" w:cs="Calibri"/>
                <w:color w:val="000000"/>
                <w:kern w:val="0"/>
                <w:szCs w:val="21"/>
              </w:rPr>
              <w:t xml:space="preserve">                        0</w:t>
            </w:r>
          </w:p>
        </w:tc>
      </w:tr>
    </w:tbl>
    <w:p>
      <w:pPr>
        <w:ind w:firstLine="640" w:firstLineChars="200"/>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ascii="黑体" w:hAnsi="黑体" w:eastAsia="黑体"/>
          <w:color w:val="auto"/>
          <w:sz w:val="32"/>
          <w:szCs w:val="32"/>
        </w:rPr>
        <w:t>收到和处理政府信息公开申请情况</w:t>
      </w:r>
    </w:p>
    <w:p>
      <w:pPr>
        <w:pStyle w:val="5"/>
        <w:numPr>
          <w:ilvl w:val="0"/>
          <w:numId w:val="0"/>
        </w:numPr>
        <w:spacing w:before="0" w:beforeAutospacing="0" w:after="0" w:afterAutospacing="0" w:line="600" w:lineRule="exact"/>
        <w:jc w:val="both"/>
        <w:rPr>
          <w:rFonts w:ascii="黑体" w:hAnsi="黑体" w:eastAsia="黑体"/>
          <w:color w:val="auto"/>
          <w:sz w:val="32"/>
          <w:szCs w:val="32"/>
        </w:rPr>
      </w:pPr>
    </w:p>
    <w:tbl>
      <w:tblPr>
        <w:tblStyle w:val="6"/>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bl>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四、政府信息公开行政复议、行政诉讼情况</w:t>
      </w:r>
    </w:p>
    <w:p>
      <w:pPr>
        <w:pStyle w:val="5"/>
        <w:spacing w:before="0" w:beforeAutospacing="0" w:after="0" w:afterAutospacing="0" w:line="600" w:lineRule="exact"/>
        <w:ind w:firstLine="480" w:firstLineChars="200"/>
        <w:jc w:val="both"/>
        <w:rPr>
          <w:rFonts w:ascii="Times New Roman" w:hAnsi="Times New Roman"/>
          <w:color w:val="auto"/>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r>
    </w:tbl>
    <w:p>
      <w:pPr>
        <w:pStyle w:val="5"/>
        <w:numPr>
          <w:ilvl w:val="0"/>
          <w:numId w:val="1"/>
        </w:numPr>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存在的主要问题及改进情况</w:t>
      </w:r>
    </w:p>
    <w:p>
      <w:pPr>
        <w:pStyle w:val="5"/>
        <w:spacing w:before="0" w:beforeAutospacing="0" w:after="0" w:afterAutospacing="0" w:line="600" w:lineRule="exact"/>
        <w:ind w:firstLine="640" w:firstLineChars="200"/>
        <w:jc w:val="both"/>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2023年，泰山区商务局政务公开方面圆满完成了各项的工作任务，但还是存在单位政务公开培训较少，培训内容单一等不足之处。</w:t>
      </w:r>
    </w:p>
    <w:p>
      <w:pPr>
        <w:pStyle w:val="5"/>
        <w:spacing w:before="0" w:beforeAutospacing="0" w:after="0" w:afterAutospacing="0" w:line="600" w:lineRule="exact"/>
        <w:ind w:firstLine="640" w:firstLineChars="200"/>
        <w:jc w:val="both"/>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下步举措：一是完善制度，制定全年培训计划，丰富政务培训内容，按时开展培训；二是及时上传发布商务政策、招商活动等新闻，大力宣传各项惠企政策。</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ascii="黑体" w:hAnsi="黑体" w:eastAsia="黑体"/>
          <w:color w:val="auto"/>
          <w:sz w:val="32"/>
          <w:szCs w:val="32"/>
        </w:rPr>
        <w:t>其他需要报告的事项</w:t>
      </w:r>
    </w:p>
    <w:p>
      <w:pPr>
        <w:ind w:firstLine="640"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1.依据《政府信息公开信息处理费管理办法》收取信息处理费的情况</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2023年度，泰山区商务局未收取信息处理费；</w:t>
      </w:r>
    </w:p>
    <w:p>
      <w:pPr>
        <w:ind w:firstLine="640"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2.本行政机关落实上级年度政务公开工作要点情况</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区商务局积极落实区政府办政务公开工作相关要求，进行信息更新，认真抓好落实；</w:t>
      </w:r>
    </w:p>
    <w:p>
      <w:pPr>
        <w:ind w:firstLine="640"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3.本行政机关人大代表建议和政协提案办理结果公开情况</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2023年泰山区商务局共承办人大建议、政协提案9项，其中人大建议0项，政协提案9项；事项涉及招商引资、会展经济、营商环境、物流业发展、电子商务、再生资源回收利用等多个方面。截至目前，我单位负责的建议、提案全部办理完毕，吸收采纳了9条，不予采纳0条，吸收采纳率100%，办结率100%。人大代表、政协委员对办理工作表示满意，所提出的问题得到解决。我单位根据要求及时将人大建议、政协提案办理复文在泰山区人民政府门户网站进行了主动公开，接受社会监督。</w:t>
      </w:r>
    </w:p>
    <w:p>
      <w:pPr>
        <w:ind w:firstLine="640" w:firstLineChars="200"/>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4.本行政机关年度政务公开创新情况。一是高度重视，健全机制。区商务局始终坚持把政务公开工作作为重点工作之一，安排专人负责政务网站后台管理，明确各项工作职责，保障政务公开工作的有效落实。二是扎实推进，积极落实。积极参加政务公开培训，充分利用区政府门户网站，按照要求公开财政预决算、业务工作、重点领域信息等内容，确保做好商务局信息公开工作</w:t>
      </w:r>
      <w:bookmarkStart w:id="10" w:name="_GoBack"/>
      <w:bookmarkEnd w:id="10"/>
      <w:r>
        <w:rPr>
          <w:rFonts w:hint="eastAsia" w:ascii="仿宋_GB2312" w:eastAsia="仿宋_GB2312" w:cstheme="minorBidi"/>
          <w:color w:val="auto"/>
          <w:kern w:val="2"/>
          <w:sz w:val="32"/>
          <w:szCs w:val="32"/>
          <w:lang w:val="en-US" w:eastAsia="zh-CN" w:bidi="ar-SA"/>
        </w:rPr>
        <w:t>。</w:t>
      </w:r>
    </w:p>
    <w:sectPr>
      <w:foot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sz w:val="24"/>
        <w:szCs w:val="24"/>
      </w:rPr>
      <w:t xml:space="preserve">— </w:t>
    </w:r>
    <w:sdt>
      <w:sdtPr>
        <w:rPr>
          <w:rFonts w:ascii="Times New Roman" w:hAnsi="Times New Roman" w:cs="Times New Roman"/>
          <w:sz w:val="24"/>
          <w:szCs w:val="24"/>
        </w:rPr>
        <w:id w:val="3190876"/>
      </w:sdtPr>
      <w:sdtEndPr>
        <w:rPr>
          <w:rFonts w:asciiTheme="minorHAnsi" w:hAnsiTheme="minorHAnsi" w:cstheme="minorBidi"/>
          <w:sz w:val="18"/>
          <w:szCs w:val="18"/>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79AA7"/>
    <w:multiLevelType w:val="singleLevel"/>
    <w:tmpl w:val="DDF79AA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ZDgzYzhlNTIxOTY5MGIzNGYxZjJiN2JlZjZhZDUifQ=="/>
  </w:docVars>
  <w:rsids>
    <w:rsidRoot w:val="009036FB"/>
    <w:rsid w:val="003F5380"/>
    <w:rsid w:val="005F04B3"/>
    <w:rsid w:val="007043DD"/>
    <w:rsid w:val="00725311"/>
    <w:rsid w:val="007C0E41"/>
    <w:rsid w:val="008260F2"/>
    <w:rsid w:val="008510D4"/>
    <w:rsid w:val="008E79FC"/>
    <w:rsid w:val="009036FB"/>
    <w:rsid w:val="00A6635A"/>
    <w:rsid w:val="00A935C0"/>
    <w:rsid w:val="03706356"/>
    <w:rsid w:val="04624A99"/>
    <w:rsid w:val="04661011"/>
    <w:rsid w:val="04BD1BA7"/>
    <w:rsid w:val="064F75F3"/>
    <w:rsid w:val="0BE44893"/>
    <w:rsid w:val="0C197EFD"/>
    <w:rsid w:val="0C886EAB"/>
    <w:rsid w:val="118F7958"/>
    <w:rsid w:val="153C0E2B"/>
    <w:rsid w:val="17600C4E"/>
    <w:rsid w:val="20315E0F"/>
    <w:rsid w:val="20792A83"/>
    <w:rsid w:val="21537630"/>
    <w:rsid w:val="23D952ED"/>
    <w:rsid w:val="265A71CA"/>
    <w:rsid w:val="283D0195"/>
    <w:rsid w:val="2D126E0D"/>
    <w:rsid w:val="2ED9699B"/>
    <w:rsid w:val="31473E7A"/>
    <w:rsid w:val="318E1295"/>
    <w:rsid w:val="364F21ED"/>
    <w:rsid w:val="372142C2"/>
    <w:rsid w:val="38016397"/>
    <w:rsid w:val="388A4CBC"/>
    <w:rsid w:val="3BF75330"/>
    <w:rsid w:val="3FF605CD"/>
    <w:rsid w:val="468B3F91"/>
    <w:rsid w:val="473F5C6F"/>
    <w:rsid w:val="494A7A84"/>
    <w:rsid w:val="4E2F67D9"/>
    <w:rsid w:val="50CD4459"/>
    <w:rsid w:val="540366B0"/>
    <w:rsid w:val="59186333"/>
    <w:rsid w:val="5A775572"/>
    <w:rsid w:val="5AE515A1"/>
    <w:rsid w:val="5EEDC3F8"/>
    <w:rsid w:val="60DA1397"/>
    <w:rsid w:val="635D0996"/>
    <w:rsid w:val="65FF0DA3"/>
    <w:rsid w:val="671F2A18"/>
    <w:rsid w:val="6D876F5F"/>
    <w:rsid w:val="76DDF9C0"/>
    <w:rsid w:val="77B81EDB"/>
    <w:rsid w:val="7A387F61"/>
    <w:rsid w:val="7AF79EE2"/>
    <w:rsid w:val="7E5C8C4E"/>
    <w:rsid w:val="7F3F70A9"/>
    <w:rsid w:val="7F7F0ED8"/>
    <w:rsid w:val="7FFEDE2F"/>
    <w:rsid w:val="8FBBAD1D"/>
    <w:rsid w:val="BC375350"/>
    <w:rsid w:val="F77C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Hyperlink"/>
    <w:basedOn w:val="7"/>
    <w:qFormat/>
    <w:uiPriority w:val="0"/>
    <w:rPr>
      <w:color w:val="0000FF"/>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Www.Ndeer.Com</Company>
  <Pages>5</Pages>
  <Words>2133</Words>
  <Characters>2190</Characters>
  <Lines>30</Lines>
  <Paragraphs>8</Paragraphs>
  <TotalTime>27</TotalTime>
  <ScaleCrop>false</ScaleCrop>
  <LinksUpToDate>false</LinksUpToDate>
  <CharactersWithSpaces>2344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2020-01-08T02:42:00Z</dcterms:created>
  <dc:creator>Administrator</dc:creator>
  <cp:lastModifiedBy>Sunshine</cp:lastModifiedBy>
  <cp:lastPrinted>2024-01-11T01:52:00Z</cp:lastPrinted>
  <dcterms:modified xsi:type="dcterms:W3CDTF">2024-01-15T06:35:08Z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58FF471F1B06469B8B5FB6C59DE8D488_13</vt:lpwstr>
  </property>
</Properties>
</file>