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/>
          <w:color w:val="333333"/>
          <w:spacing w:val="10"/>
          <w:sz w:val="44"/>
          <w:szCs w:val="44"/>
        </w:rPr>
      </w:pPr>
    </w:p>
    <w:p>
      <w:pPr>
        <w:pStyle w:val="6"/>
        <w:spacing w:before="0" w:beforeAutospacing="0" w:after="0" w:afterAutospacing="0" w:line="600" w:lineRule="exact"/>
        <w:jc w:val="center"/>
        <w:rPr>
          <w:rFonts w:ascii="Times New Roman" w:hAnsi="Times New Roman" w:eastAsia="方正小标宋简体"/>
          <w:color w:val="333333"/>
          <w:spacing w:val="10"/>
          <w:sz w:val="44"/>
          <w:szCs w:val="44"/>
        </w:rPr>
      </w:pPr>
      <w:r>
        <w:rPr>
          <w:rFonts w:hint="eastAsia" w:ascii="Times New Roman" w:hAnsi="Times New Roman" w:eastAsia="方正小标宋简体"/>
          <w:color w:val="333333"/>
          <w:spacing w:val="10"/>
          <w:sz w:val="44"/>
          <w:szCs w:val="44"/>
        </w:rPr>
        <w:t>泰安市泰山区财政局</w:t>
      </w:r>
      <w:r>
        <w:rPr>
          <w:rFonts w:ascii="Times New Roman" w:hAnsi="Times New Roman" w:eastAsia="方正小标宋简体"/>
          <w:color w:val="333333"/>
          <w:spacing w:val="10"/>
          <w:sz w:val="44"/>
          <w:szCs w:val="44"/>
        </w:rPr>
        <w:t>20</w:t>
      </w:r>
      <w:r>
        <w:rPr>
          <w:rFonts w:hint="eastAsia" w:ascii="Times New Roman" w:hAnsi="Times New Roman" w:eastAsia="方正小标宋简体"/>
          <w:color w:val="333333"/>
          <w:spacing w:val="10"/>
          <w:sz w:val="44"/>
          <w:szCs w:val="44"/>
        </w:rPr>
        <w:t>2</w:t>
      </w:r>
      <w:r>
        <w:rPr>
          <w:rFonts w:hint="eastAsia" w:ascii="Times New Roman" w:hAnsi="Times New Roman" w:eastAsia="方正小标宋简体"/>
          <w:color w:val="333333"/>
          <w:spacing w:val="10"/>
          <w:sz w:val="44"/>
          <w:szCs w:val="44"/>
          <w:lang w:val="en-US" w:eastAsia="zh-CN"/>
        </w:rPr>
        <w:t>1</w:t>
      </w:r>
      <w:r>
        <w:rPr>
          <w:rFonts w:ascii="Times New Roman" w:hAnsi="Times New Roman" w:eastAsia="方正小标宋简体"/>
          <w:color w:val="333333"/>
          <w:spacing w:val="10"/>
          <w:sz w:val="44"/>
          <w:szCs w:val="44"/>
        </w:rPr>
        <w:t>年政府信息公开工作年度报告（试行）</w:t>
      </w:r>
    </w:p>
    <w:p>
      <w:pPr>
        <w:pStyle w:val="6"/>
        <w:spacing w:before="0" w:beforeAutospacing="0" w:after="0" w:afterAutospacing="0" w:line="600" w:lineRule="exact"/>
        <w:ind w:firstLine="880" w:firstLineChars="200"/>
        <w:jc w:val="both"/>
        <w:rPr>
          <w:rFonts w:ascii="Times New Roman" w:hAnsi="Times New Roman" w:eastAsia="方正小标宋简体"/>
          <w:sz w:val="44"/>
          <w:szCs w:val="44"/>
        </w:rPr>
      </w:pPr>
    </w:p>
    <w:p>
      <w:pPr>
        <w:keepNext w:val="0"/>
        <w:keepLines w:val="0"/>
        <w:widowControl/>
        <w:suppressLineNumbers w:val="0"/>
        <w:jc w:val="left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sans-serif" w:hAnsi="sans-serif" w:eastAsia="sans-serif" w:cs="sans-serif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> </w:t>
      </w:r>
      <w:r>
        <w:rPr>
          <w:rFonts w:hint="default" w:ascii="sans-serif" w:hAnsi="sans-serif" w:eastAsia="sans-serif" w:cs="sans-serif"/>
          <w:i w:val="0"/>
          <w:caps w:val="0"/>
          <w:color w:val="000000"/>
          <w:spacing w:val="0"/>
          <w:kern w:val="0"/>
          <w:sz w:val="24"/>
          <w:szCs w:val="24"/>
          <w:lang w:val="en" w:eastAsia="zh-CN" w:bidi="ar"/>
        </w:rPr>
        <w:t xml:space="preserve">    </w:t>
      </w:r>
      <w:r>
        <w:rPr>
          <w:rFonts w:hint="eastAsia" w:ascii="sans-serif" w:hAnsi="sans-serif" w:eastAsia="sans-serif" w:cs="sans-serif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-SA"/>
        </w:rPr>
        <w:t>根据《中华人民共和国政府信息公开条例》，特向社会公布2021年度本机关政府信息公开工作年度报告。全文包括：年度报告应当包括总体情况；行政机关主动公开政府信息的情况；行政机关收到和处理政府信息公开申请的情况；因政府信息公开工作被申请行政复议、提起行政诉讼的情况；政府信息公开工作存在的主要问题及改进情况；其他需要报告的事项。报告中所列数据的统计期限自2021年1月1日起至2021年12月31日止。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黑体" w:hAnsi="黑体" w:eastAsia="黑体"/>
          <w:color w:val="333333"/>
          <w:sz w:val="32"/>
          <w:szCs w:val="32"/>
        </w:rPr>
        <w:t>一、总体情况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hint="eastAsia" w:ascii="Times New Roman" w:hAnsi="Times New Roman" w:eastAsia="仿宋_GB2312"/>
          <w:color w:val="333333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333333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333333"/>
          <w:sz w:val="32"/>
          <w:szCs w:val="32"/>
        </w:rPr>
        <w:t>年以来，泰安市泰山区财政局在区委、区政府的领导下，以习近平新时代中国特色社会主义思想为指导，按照《中华人民共和国政府信息公开条例》《山东省人民政府办公厅关于印发202</w:t>
      </w:r>
      <w:r>
        <w:rPr>
          <w:rFonts w:hint="eastAsia" w:ascii="Times New Roman" w:hAnsi="Times New Roman" w:eastAsia="仿宋_GB2312"/>
          <w:color w:val="333333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333333"/>
          <w:sz w:val="32"/>
          <w:szCs w:val="32"/>
        </w:rPr>
        <w:t>年山东省政务公开工作要点的通知》</w:t>
      </w:r>
      <w:r>
        <w:rPr>
          <w:rFonts w:hint="eastAsia" w:ascii="Times New Roman" w:hAnsi="Times New Roman" w:eastAsia="仿宋_GB2312"/>
          <w:color w:val="333333"/>
          <w:sz w:val="32"/>
          <w:szCs w:val="32"/>
          <w:lang w:eastAsia="zh-CN"/>
        </w:rPr>
        <w:t>、</w:t>
      </w:r>
      <w:r>
        <w:rPr>
          <w:rFonts w:hint="eastAsia" w:ascii="Times New Roman" w:hAnsi="Times New Roman" w:eastAsia="仿宋_GB2312"/>
          <w:color w:val="333333"/>
          <w:sz w:val="32"/>
          <w:szCs w:val="32"/>
        </w:rPr>
        <w:t>《泰安市人民政府办公室关于印发202</w:t>
      </w:r>
      <w:r>
        <w:rPr>
          <w:rFonts w:hint="eastAsia" w:ascii="Times New Roman" w:hAnsi="Times New Roman" w:eastAsia="仿宋_GB2312"/>
          <w:color w:val="333333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333333"/>
          <w:sz w:val="32"/>
          <w:szCs w:val="32"/>
        </w:rPr>
        <w:t>年泰安市政务公开重点工作任务分解表的通知》的要求，提高思想认识，坚持把政府信息公开作为一项重要的政治任务，切实提高对政府信息公开工作的认识和处理能力。及时调整局政府信息公开工作领导小组，明确具体人员负责信息公开的制度，开展有关信息公开的具体内容、形式、制度的统一规范和管理工作。局机关各科室按照职能分工要求，各负其责地开展有关信息公开的资料交流、信息更新维护、咨询答复、群众和服务对象反映的重大问题的解决等工作。不断提升政务公开标准化规范化水平和工作能力，加大公开力度，增强公开实效，切实做好政府信息公开工作，提升群众的幸福感和满意度。</w:t>
      </w:r>
    </w:p>
    <w:p>
      <w:pPr>
        <w:pStyle w:val="6"/>
        <w:spacing w:before="0" w:beforeAutospacing="0" w:after="0" w:afterAutospacing="0" w:line="600" w:lineRule="exact"/>
        <w:ind w:firstLine="643" w:firstLineChars="200"/>
        <w:jc w:val="both"/>
        <w:rPr>
          <w:rFonts w:ascii="Times New Roman" w:hAnsi="Times New Roman" w:eastAsia="仿宋_GB2312"/>
          <w:color w:val="333333"/>
          <w:sz w:val="32"/>
          <w:szCs w:val="32"/>
          <w:highlight w:val="yellow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1.主动公开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333333"/>
          <w:sz w:val="32"/>
          <w:szCs w:val="32"/>
        </w:rPr>
        <w:t>深入推进政府信息主动公开。根据我局机构改革情况，及时更新公布机关职能、机构设置、联系方式和相关负责人等信息。立足“稳收入、保重点、强调控、严管理、提素质”五条工作主线重点工作部署，及时根据工作开展情况公开信息，及时高效做好政务信息发布工作。完善了信息公开目录，及时公开财政预决算、人事信息、绩效管理等内容</w:t>
      </w:r>
      <w:r>
        <w:rPr>
          <w:rFonts w:hint="eastAsia" w:ascii="Times New Roman" w:hAnsi="Times New Roman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，每年定期发布政府信息公开年报。</w:t>
      </w:r>
    </w:p>
    <w:p>
      <w:pPr>
        <w:pStyle w:val="6"/>
        <w:numPr>
          <w:ilvl w:val="0"/>
          <w:numId w:val="0"/>
        </w:numPr>
        <w:spacing w:before="0" w:beforeAutospacing="0" w:after="0" w:afterAutospacing="0" w:line="600" w:lineRule="exact"/>
        <w:ind w:firstLine="643" w:firstLineChars="200"/>
        <w:jc w:val="both"/>
        <w:rPr>
          <w:rFonts w:hint="eastAsia" w:ascii="Times New Roman" w:hAnsi="Times New Roman" w:eastAsia="仿宋_GB2312"/>
          <w:color w:val="333333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2.依申请公开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333333"/>
          <w:sz w:val="32"/>
          <w:szCs w:val="32"/>
        </w:rPr>
        <w:t>进一步推进规范依申请公开工作，提高依申请公开办理质效，进一步强化依申请办理程序化、规范化、标准化。做好依申请公开接收、登记、办理、调查、答复等各个环节工作。在答复申请时，严格依法有据，严格按照《中华人民共和国政府信息公开条例》规定出具告知书，规范格式和内容，确保用词准确、严谨、规范，依法保障公民、法人和其他组织获取政府信息的权利，维护政府部门的形象。202</w:t>
      </w:r>
      <w:r>
        <w:rPr>
          <w:rFonts w:hint="eastAsia" w:ascii="Times New Roman" w:hAnsi="Times New Roman" w:eastAsia="仿宋_GB2312"/>
          <w:color w:val="333333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333333"/>
          <w:sz w:val="32"/>
          <w:szCs w:val="32"/>
        </w:rPr>
        <w:t>年，我局</w:t>
      </w:r>
      <w:r>
        <w:rPr>
          <w:rFonts w:hint="eastAsia" w:ascii="Times New Roman" w:hAnsi="Times New Roman" w:eastAsia="仿宋_GB2312"/>
          <w:color w:val="333333"/>
          <w:sz w:val="32"/>
          <w:szCs w:val="32"/>
          <w:lang w:eastAsia="zh-CN"/>
        </w:rPr>
        <w:t>未</w:t>
      </w:r>
      <w:r>
        <w:rPr>
          <w:rFonts w:hint="eastAsia" w:ascii="Times New Roman" w:hAnsi="Times New Roman" w:eastAsia="仿宋_GB2312"/>
          <w:color w:val="333333"/>
          <w:sz w:val="32"/>
          <w:szCs w:val="32"/>
        </w:rPr>
        <w:t>收到因信息公开引起的行政诉讼。</w:t>
      </w:r>
    </w:p>
    <w:p>
      <w:pPr>
        <w:pStyle w:val="6"/>
        <w:numPr>
          <w:ilvl w:val="0"/>
          <w:numId w:val="0"/>
        </w:numPr>
        <w:spacing w:before="0" w:beforeAutospacing="0" w:after="0" w:afterAutospacing="0" w:line="600" w:lineRule="exact"/>
        <w:ind w:firstLine="643" w:firstLineChars="200"/>
        <w:jc w:val="both"/>
        <w:rPr>
          <w:rFonts w:hint="eastAsia" w:ascii="Times New Roman" w:hAnsi="Times New Roman" w:eastAsia="仿宋_GB2312"/>
          <w:color w:val="333333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3.政府信息管理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333333"/>
          <w:sz w:val="32"/>
          <w:szCs w:val="32"/>
        </w:rPr>
        <w:t>202</w:t>
      </w:r>
      <w:r>
        <w:rPr>
          <w:rFonts w:hint="eastAsia" w:ascii="Times New Roman" w:hAnsi="Times New Roman" w:eastAsia="仿宋_GB2312"/>
          <w:color w:val="333333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/>
          <w:color w:val="333333"/>
          <w:sz w:val="32"/>
          <w:szCs w:val="32"/>
        </w:rPr>
        <w:t>年在政府信息公开目录全面公开了年度财政预算、决算及“收入、支出、三公经费”等信息。</w:t>
      </w:r>
    </w:p>
    <w:p>
      <w:pPr>
        <w:pStyle w:val="6"/>
        <w:numPr>
          <w:ilvl w:val="0"/>
          <w:numId w:val="0"/>
        </w:numPr>
        <w:spacing w:before="0" w:beforeAutospacing="0" w:after="0" w:afterAutospacing="0" w:line="600" w:lineRule="exact"/>
        <w:ind w:firstLine="643" w:firstLineChars="200"/>
        <w:jc w:val="both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4.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政府信息公开</w:t>
      </w:r>
      <w:r>
        <w:rPr>
          <w:rFonts w:ascii="仿宋_GB2312" w:eastAsia="仿宋_GB2312"/>
          <w:b/>
          <w:bCs/>
          <w:color w:val="auto"/>
          <w:sz w:val="32"/>
          <w:szCs w:val="32"/>
        </w:rPr>
        <w:t>平台建设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333333"/>
          <w:sz w:val="32"/>
          <w:szCs w:val="32"/>
        </w:rPr>
        <w:t>我局无相关平台建设。</w:t>
      </w:r>
    </w:p>
    <w:p>
      <w:pPr>
        <w:pStyle w:val="6"/>
        <w:numPr>
          <w:ilvl w:val="0"/>
          <w:numId w:val="0"/>
        </w:numPr>
        <w:spacing w:before="0" w:beforeAutospacing="0" w:after="0" w:afterAutospacing="0" w:line="600" w:lineRule="exact"/>
        <w:ind w:firstLine="643" w:firstLineChars="200"/>
        <w:jc w:val="both"/>
        <w:rPr>
          <w:rFonts w:ascii="Times New Roman" w:hAnsi="Times New Roman" w:eastAsia="仿宋_GB2312"/>
          <w:color w:val="333333"/>
          <w:sz w:val="32"/>
          <w:szCs w:val="32"/>
        </w:rPr>
      </w:pPr>
      <w:r>
        <w:rPr>
          <w:rFonts w:ascii="仿宋_GB2312" w:eastAsia="仿宋_GB2312"/>
          <w:b/>
          <w:bCs/>
          <w:color w:val="auto"/>
          <w:sz w:val="32"/>
          <w:szCs w:val="32"/>
        </w:rPr>
        <w:t>5.监督保障</w:t>
      </w:r>
      <w:r>
        <w:rPr>
          <w:rFonts w:hint="eastAsia" w:ascii="仿宋_GB2312" w:eastAsia="仿宋_GB2312"/>
          <w:b/>
          <w:bCs/>
          <w:color w:val="auto"/>
          <w:sz w:val="32"/>
          <w:szCs w:val="32"/>
        </w:rPr>
        <w:t>。</w:t>
      </w:r>
      <w:r>
        <w:rPr>
          <w:rFonts w:hint="eastAsia" w:ascii="Times New Roman" w:hAnsi="Times New Roman" w:eastAsia="仿宋_GB2312"/>
          <w:color w:val="333333"/>
          <w:sz w:val="32"/>
          <w:szCs w:val="32"/>
        </w:rPr>
        <w:t>严格按照《中华人民共和国政府信息公开条例》开展政府信息公开工作，确保流程规范、合规。按照省、市下发的政务公开工作要点，切实发挥部门职能，结合本领域实际，落实工作任务，并接受上级的监督检查。及时处理群众依申请公开，保障区财政资金的安全规范运行，积极主动公开可以公开的政府信息，接受社会监督，保障政府信息公开的渠道畅通，切实保障公众的知情权和监督权。同时利用泰山区人民政府网站信箱、咨询反馈等栏目，听取群众意见建议并解疑释惑。</w:t>
      </w:r>
    </w:p>
    <w:p>
      <w:pPr>
        <w:pStyle w:val="6"/>
        <w:numPr>
          <w:ilvl w:val="0"/>
          <w:numId w:val="1"/>
        </w:numPr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333333"/>
          <w:sz w:val="32"/>
          <w:szCs w:val="32"/>
        </w:rPr>
      </w:pPr>
      <w:r>
        <w:rPr>
          <w:rFonts w:ascii="黑体" w:hAnsi="黑体" w:eastAsia="黑体"/>
          <w:color w:val="333333"/>
          <w:sz w:val="32"/>
          <w:szCs w:val="32"/>
        </w:rPr>
        <w:t>主动公开政府信息情况</w:t>
      </w:r>
    </w:p>
    <w:tbl>
      <w:tblPr>
        <w:tblStyle w:val="7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  <w:t>9770</w:t>
            </w:r>
          </w:p>
        </w:tc>
      </w:tr>
    </w:tbl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333333"/>
          <w:sz w:val="32"/>
          <w:szCs w:val="32"/>
        </w:rPr>
      </w:pPr>
      <w:r>
        <w:rPr>
          <w:rFonts w:ascii="黑体" w:hAnsi="黑体" w:eastAsia="黑体"/>
          <w:color w:val="333333"/>
          <w:sz w:val="32"/>
          <w:szCs w:val="32"/>
        </w:rPr>
        <w:t>三、收到和处理政府信息公开申请情况</w:t>
      </w:r>
    </w:p>
    <w:tbl>
      <w:tblPr>
        <w:tblStyle w:val="7"/>
        <w:tblW w:w="5000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6"/>
        <w:gridCol w:w="846"/>
        <w:gridCol w:w="2425"/>
        <w:gridCol w:w="593"/>
        <w:gridCol w:w="706"/>
        <w:gridCol w:w="605"/>
        <w:gridCol w:w="954"/>
        <w:gridCol w:w="800"/>
        <w:gridCol w:w="717"/>
        <w:gridCol w:w="66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3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2816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3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2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自然人</w:t>
            </w:r>
          </w:p>
        </w:tc>
        <w:tc>
          <w:tcPr>
            <w:tcW w:w="2114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法人或其他组织</w:t>
            </w:r>
          </w:p>
        </w:tc>
        <w:tc>
          <w:tcPr>
            <w:tcW w:w="368" w:type="pct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8" w:hRule="atLeast"/>
          <w:jc w:val="center"/>
        </w:trPr>
        <w:tc>
          <w:tcPr>
            <w:tcW w:w="2183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商业企业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科研机构</w:t>
            </w:r>
          </w:p>
        </w:tc>
        <w:tc>
          <w:tcPr>
            <w:tcW w:w="53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社会公益组织</w:t>
            </w:r>
          </w:p>
        </w:tc>
        <w:tc>
          <w:tcPr>
            <w:tcW w:w="44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法律服务机构</w:t>
            </w:r>
          </w:p>
        </w:tc>
        <w:tc>
          <w:tcPr>
            <w:tcW w:w="40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其他</w:t>
            </w:r>
          </w:p>
        </w:tc>
        <w:tc>
          <w:tcPr>
            <w:tcW w:w="368" w:type="pct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atLeast"/>
          <w:jc w:val="center"/>
        </w:trPr>
        <w:tc>
          <w:tcPr>
            <w:tcW w:w="2183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一、本年新收政府信息公开申请数量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  <w:jc w:val="center"/>
        </w:trPr>
        <w:tc>
          <w:tcPr>
            <w:tcW w:w="2183" w:type="pct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ind w:firstLine="210" w:firstLineChars="100"/>
              <w:jc w:val="both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pct"/>
            <w:vMerge w:val="restar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三、本年度办理结果</w:t>
            </w:r>
          </w:p>
        </w:tc>
        <w:tc>
          <w:tcPr>
            <w:tcW w:w="1828" w:type="pct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（一）予以公开</w:t>
            </w:r>
          </w:p>
        </w:tc>
        <w:tc>
          <w:tcPr>
            <w:tcW w:w="332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95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38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533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447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400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68" w:type="pct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2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（三）不予</w:t>
            </w:r>
          </w:p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公开</w:t>
            </w:r>
          </w:p>
        </w:tc>
        <w:tc>
          <w:tcPr>
            <w:tcW w:w="1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1.属于国家秘密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6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2.其他法律行政法规禁止公开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3.危及“三安全一稳定”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4.保护第三方合法权益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5.属于三类内部事务信息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6.属于四类过程性信息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7.属于行政执法案卷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8.属于行政查询事项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（四）无法</w:t>
            </w:r>
          </w:p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提供</w:t>
            </w:r>
          </w:p>
        </w:tc>
        <w:tc>
          <w:tcPr>
            <w:tcW w:w="1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1.本机关不掌握相关政府信息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2.没有现成信息需要另行制作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3.补正后申请内容仍不明确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（五）不予</w:t>
            </w:r>
          </w:p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处理</w:t>
            </w:r>
          </w:p>
        </w:tc>
        <w:tc>
          <w:tcPr>
            <w:tcW w:w="1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1.信访举报投诉类申请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2.重复申请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3.要求提供公开出版物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4.无正当理由大量反复申请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5.要求行政机关确认或重新出具已获取信息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2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（六）其他处理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828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（七）总计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83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left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四、结转下年度继续办理</w:t>
            </w:r>
          </w:p>
        </w:tc>
        <w:tc>
          <w:tcPr>
            <w:tcW w:w="3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9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44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  <w:tc>
          <w:tcPr>
            <w:tcW w:w="40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</w:p>
        </w:tc>
        <w:tc>
          <w:tcPr>
            <w:tcW w:w="36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 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0</w:t>
            </w:r>
          </w:p>
        </w:tc>
      </w:tr>
    </w:tbl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333333"/>
          <w:sz w:val="32"/>
          <w:szCs w:val="32"/>
        </w:rPr>
      </w:pPr>
      <w:r>
        <w:rPr>
          <w:rFonts w:ascii="黑体" w:hAnsi="黑体" w:eastAsia="黑体"/>
          <w:color w:val="333333"/>
          <w:sz w:val="32"/>
          <w:szCs w:val="32"/>
        </w:rPr>
        <w:t>四、政府信息公开行政复议、行政诉讼情况</w:t>
      </w:r>
    </w:p>
    <w:p>
      <w:pPr>
        <w:pStyle w:val="6"/>
        <w:spacing w:before="0" w:beforeAutospacing="0" w:after="0" w:afterAutospacing="0" w:line="600" w:lineRule="exact"/>
        <w:ind w:firstLine="480" w:firstLineChars="200"/>
        <w:jc w:val="both"/>
        <w:rPr>
          <w:rFonts w:ascii="Times New Roman" w:hAnsi="Times New Roman"/>
        </w:rPr>
      </w:pPr>
    </w:p>
    <w:tbl>
      <w:tblPr>
        <w:tblStyle w:val="7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 </w:t>
            </w: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after="180"/>
              <w:jc w:val="center"/>
              <w:rPr>
                <w:rFonts w:ascii="Times New Roman" w:hAnsi="Times New Roman" w:cs="Times New Roman" w:eastAsiaTheme="minorEastAsia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kern w:val="0"/>
                <w:sz w:val="20"/>
                <w:szCs w:val="20"/>
              </w:rPr>
              <w:t>0</w:t>
            </w:r>
          </w:p>
        </w:tc>
      </w:tr>
    </w:tbl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333333"/>
          <w:sz w:val="32"/>
          <w:szCs w:val="32"/>
        </w:rPr>
      </w:pPr>
      <w:r>
        <w:rPr>
          <w:rFonts w:ascii="黑体" w:hAnsi="黑体" w:eastAsia="黑体"/>
          <w:color w:val="333333"/>
          <w:sz w:val="32"/>
          <w:szCs w:val="32"/>
        </w:rPr>
        <w:t>五、存在的主要问题及改进情况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年，区财政局信息公开工作取得了一定得成绩，但在开展政府信息公开的工作中，还存在一些亟待解决的问题：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一是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在时效性方面都存在较大提升空间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，有的公开内容许多应事前公开的内容变成了事后公开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；二是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信息公开工作还不能完全满足社会公众的需求；三是信息公开的事项多、涉及面广、要求高，政务信息公开培训工作还有待于进一步加强。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针对上述问题，在202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</w:rPr>
        <w:t>年信息公开工作中要做到：一是继续完善主动公开和依申请公开制度，规范行政决策、执行、管理、服务和结果信息公开，做到全面、准确、及时。二是强化管理，优化服务，加强相关培训和学习，切实增强工作人员的服务意识，提高业务能力。三是以“以公开为原则，不公开为例外”，准确把握主动公开、不予公开和依申请公开类型信息的不同要求，进一步深化政务信息公开工作，满足公众对政务信息公开工作的需求，更加积极主动接受社会各界的监督。</w:t>
      </w:r>
    </w:p>
    <w:p>
      <w:pPr>
        <w:pStyle w:val="6"/>
        <w:spacing w:before="0" w:beforeAutospacing="0" w:after="0" w:afterAutospacing="0" w:line="600" w:lineRule="exact"/>
        <w:ind w:firstLine="640" w:firstLineChars="200"/>
        <w:jc w:val="both"/>
        <w:rPr>
          <w:rFonts w:ascii="黑体" w:hAnsi="黑体" w:eastAsia="黑体"/>
          <w:color w:val="333333"/>
          <w:sz w:val="32"/>
          <w:szCs w:val="32"/>
        </w:rPr>
      </w:pPr>
      <w:r>
        <w:rPr>
          <w:rFonts w:ascii="黑体" w:hAnsi="黑体" w:eastAsia="黑体"/>
          <w:color w:val="333333"/>
          <w:sz w:val="32"/>
          <w:szCs w:val="32"/>
        </w:rPr>
        <w:t>六、其他需要报告的事项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-SA"/>
        </w:rPr>
        <w:t>1.按照《国务院办公厅关于印发〈政府信息公开信息处理费管理办法〉的通知》（国办函〔2020〕109号）规定的按件、按量收费标准，2021年度没有产生信息公开处理费。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-SA"/>
        </w:rPr>
        <w:t>2.根据《2021年政务公开工作要点》，我局成立专人专班，狠抓工作责任落实，深化区财政系统的政务公开工作。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333333"/>
          <w:kern w:val="0"/>
          <w:sz w:val="32"/>
          <w:szCs w:val="32"/>
          <w:lang w:val="en-US" w:eastAsia="zh-CN" w:bidi="ar-SA"/>
        </w:rPr>
        <w:t>3. 2021年，泰安市泰山区财政局共承办人大建议、政协提案6项，其中人大建议3项，政协提案3项；事项内容涉及政府采购、融资担保等多个方面。截至目前，我单位负责的建议、提案全部办理完毕，办结率为100%，人大代表、政协委员对办理工作表示满意，所提出的问题得到解决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50" w:lineRule="atLeast"/>
        <w:ind w:left="0" w:right="0" w:firstLine="420"/>
        <w:jc w:val="left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color w:val="333333"/>
          <w:kern w:val="0"/>
          <w:sz w:val="32"/>
          <w:szCs w:val="32"/>
        </w:rPr>
      </w:pPr>
    </w:p>
    <w:sectPr>
      <w:footerReference r:id="rId3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Times New Roman" w:hAnsi="Times New Roman" w:cs="Times New Roman"/>
        <w:sz w:val="24"/>
        <w:szCs w:val="24"/>
      </w:rPr>
      <w:t xml:space="preserve">— </w:t>
    </w:r>
    <w:sdt>
      <w:sdtPr>
        <w:rPr>
          <w:rFonts w:ascii="Times New Roman" w:hAnsi="Times New Roman" w:cs="Times New Roman"/>
          <w:sz w:val="24"/>
          <w:szCs w:val="24"/>
        </w:rPr>
        <w:id w:val="3190876"/>
      </w:sdtPr>
      <w:sdtEndPr>
        <w:rPr>
          <w:rFonts w:asciiTheme="minorHAnsi" w:hAnsiTheme="minorHAnsi" w:cstheme="minorBidi"/>
          <w:sz w:val="18"/>
          <w:szCs w:val="18"/>
        </w:rPr>
      </w:sdtEndPr>
      <w:sdtContent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  <w:r>
          <w:rPr>
            <w:rFonts w:ascii="Times New Roman" w:hAnsi="Times New Roman" w:cs="Times New Roman"/>
            <w:sz w:val="24"/>
            <w:szCs w:val="24"/>
          </w:rPr>
          <w:t xml:space="preserve"> —</w:t>
        </w:r>
      </w:sdtContent>
    </w:sdt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3E848"/>
    <w:multiLevelType w:val="singleLevel"/>
    <w:tmpl w:val="4E43E84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363"/>
    <w:rsid w:val="0000249C"/>
    <w:rsid w:val="00246363"/>
    <w:rsid w:val="002D5CC2"/>
    <w:rsid w:val="004312D9"/>
    <w:rsid w:val="0046248C"/>
    <w:rsid w:val="004B1613"/>
    <w:rsid w:val="00506BB7"/>
    <w:rsid w:val="00526DF2"/>
    <w:rsid w:val="005E7037"/>
    <w:rsid w:val="0068299B"/>
    <w:rsid w:val="006A5289"/>
    <w:rsid w:val="006E26AB"/>
    <w:rsid w:val="008716F2"/>
    <w:rsid w:val="008A6898"/>
    <w:rsid w:val="00943943"/>
    <w:rsid w:val="00A4766B"/>
    <w:rsid w:val="00A659D3"/>
    <w:rsid w:val="00A76C6C"/>
    <w:rsid w:val="00D46482"/>
    <w:rsid w:val="00E14C1D"/>
    <w:rsid w:val="00E340FD"/>
    <w:rsid w:val="00F833DA"/>
    <w:rsid w:val="00FB4547"/>
    <w:rsid w:val="00FC7765"/>
    <w:rsid w:val="00FF133E"/>
    <w:rsid w:val="011078C7"/>
    <w:rsid w:val="0397607D"/>
    <w:rsid w:val="049F343C"/>
    <w:rsid w:val="04A15406"/>
    <w:rsid w:val="054F6C10"/>
    <w:rsid w:val="06287461"/>
    <w:rsid w:val="068E215B"/>
    <w:rsid w:val="075C5614"/>
    <w:rsid w:val="07683FB9"/>
    <w:rsid w:val="07CA22C4"/>
    <w:rsid w:val="083E2F6B"/>
    <w:rsid w:val="08D00067"/>
    <w:rsid w:val="08FF5DAE"/>
    <w:rsid w:val="09212671"/>
    <w:rsid w:val="09864BCA"/>
    <w:rsid w:val="0A854E82"/>
    <w:rsid w:val="0B4E7C2D"/>
    <w:rsid w:val="0B73117E"/>
    <w:rsid w:val="0C5B4C2A"/>
    <w:rsid w:val="0C6F7B97"/>
    <w:rsid w:val="0C8D626F"/>
    <w:rsid w:val="0CA77331"/>
    <w:rsid w:val="0D7D62E4"/>
    <w:rsid w:val="0E570198"/>
    <w:rsid w:val="0EC50177"/>
    <w:rsid w:val="0F73174D"/>
    <w:rsid w:val="0FD22917"/>
    <w:rsid w:val="0FE932BC"/>
    <w:rsid w:val="10D2571C"/>
    <w:rsid w:val="118E0AC0"/>
    <w:rsid w:val="11C6025A"/>
    <w:rsid w:val="12323B41"/>
    <w:rsid w:val="12D469A6"/>
    <w:rsid w:val="14812B5E"/>
    <w:rsid w:val="15211C4B"/>
    <w:rsid w:val="15695ACC"/>
    <w:rsid w:val="15BD1974"/>
    <w:rsid w:val="15DD3DC4"/>
    <w:rsid w:val="16A6065A"/>
    <w:rsid w:val="17887D5F"/>
    <w:rsid w:val="183A374F"/>
    <w:rsid w:val="18FD6E7A"/>
    <w:rsid w:val="19265A82"/>
    <w:rsid w:val="19C257AA"/>
    <w:rsid w:val="1A5959E3"/>
    <w:rsid w:val="1A5D3725"/>
    <w:rsid w:val="1AF7263E"/>
    <w:rsid w:val="1BAA299A"/>
    <w:rsid w:val="1BD17F27"/>
    <w:rsid w:val="1BD712B5"/>
    <w:rsid w:val="1BF12377"/>
    <w:rsid w:val="1C220782"/>
    <w:rsid w:val="1CDC3027"/>
    <w:rsid w:val="1D1207F7"/>
    <w:rsid w:val="1E71779F"/>
    <w:rsid w:val="213B4094"/>
    <w:rsid w:val="219614DF"/>
    <w:rsid w:val="21DF0EC4"/>
    <w:rsid w:val="23B54150"/>
    <w:rsid w:val="23EE3640"/>
    <w:rsid w:val="250E5D48"/>
    <w:rsid w:val="254C6870"/>
    <w:rsid w:val="25585215"/>
    <w:rsid w:val="2621594F"/>
    <w:rsid w:val="26865DB2"/>
    <w:rsid w:val="27231852"/>
    <w:rsid w:val="27391076"/>
    <w:rsid w:val="274A5031"/>
    <w:rsid w:val="282D0BDB"/>
    <w:rsid w:val="28EB63A0"/>
    <w:rsid w:val="2954470F"/>
    <w:rsid w:val="2A4D10C0"/>
    <w:rsid w:val="2A630878"/>
    <w:rsid w:val="2BB313F7"/>
    <w:rsid w:val="2C03063F"/>
    <w:rsid w:val="2CB35427"/>
    <w:rsid w:val="2CBF3DCB"/>
    <w:rsid w:val="2D3C541C"/>
    <w:rsid w:val="2D5E1836"/>
    <w:rsid w:val="2DCB5019"/>
    <w:rsid w:val="2E717347"/>
    <w:rsid w:val="2FC17E5A"/>
    <w:rsid w:val="2FF65D56"/>
    <w:rsid w:val="301362BF"/>
    <w:rsid w:val="31C37EBA"/>
    <w:rsid w:val="32805DAB"/>
    <w:rsid w:val="344C23E9"/>
    <w:rsid w:val="346C4839"/>
    <w:rsid w:val="36211653"/>
    <w:rsid w:val="363B44C3"/>
    <w:rsid w:val="36603F29"/>
    <w:rsid w:val="3699568D"/>
    <w:rsid w:val="37015C24"/>
    <w:rsid w:val="387B329C"/>
    <w:rsid w:val="38B467AE"/>
    <w:rsid w:val="399C171C"/>
    <w:rsid w:val="39A46823"/>
    <w:rsid w:val="39C96289"/>
    <w:rsid w:val="3A1A6AE5"/>
    <w:rsid w:val="3A231E3E"/>
    <w:rsid w:val="3AC0768C"/>
    <w:rsid w:val="3ACA22B9"/>
    <w:rsid w:val="3AD12781"/>
    <w:rsid w:val="3AEA295B"/>
    <w:rsid w:val="3B223EA3"/>
    <w:rsid w:val="3B9F3746"/>
    <w:rsid w:val="3DA45043"/>
    <w:rsid w:val="3E630A5B"/>
    <w:rsid w:val="3E8310FD"/>
    <w:rsid w:val="3F8769CB"/>
    <w:rsid w:val="3FEE07F8"/>
    <w:rsid w:val="41B33AA7"/>
    <w:rsid w:val="42186000"/>
    <w:rsid w:val="451A3E3D"/>
    <w:rsid w:val="46C75685"/>
    <w:rsid w:val="46D92D24"/>
    <w:rsid w:val="46F74436"/>
    <w:rsid w:val="47094169"/>
    <w:rsid w:val="471F398D"/>
    <w:rsid w:val="478B2DD0"/>
    <w:rsid w:val="48427933"/>
    <w:rsid w:val="48BF0F83"/>
    <w:rsid w:val="48F0738F"/>
    <w:rsid w:val="49F904C5"/>
    <w:rsid w:val="4A987CDE"/>
    <w:rsid w:val="4AB663B6"/>
    <w:rsid w:val="4B0C4228"/>
    <w:rsid w:val="4BA97CC9"/>
    <w:rsid w:val="4C03562B"/>
    <w:rsid w:val="4DC86B2C"/>
    <w:rsid w:val="4DE65204"/>
    <w:rsid w:val="4E013DEC"/>
    <w:rsid w:val="4FD6689C"/>
    <w:rsid w:val="4FFA020E"/>
    <w:rsid w:val="50373AF5"/>
    <w:rsid w:val="5039786D"/>
    <w:rsid w:val="51BA623F"/>
    <w:rsid w:val="52263E21"/>
    <w:rsid w:val="52CC7DF2"/>
    <w:rsid w:val="534D3630"/>
    <w:rsid w:val="53FC12DE"/>
    <w:rsid w:val="543C792C"/>
    <w:rsid w:val="557D01FC"/>
    <w:rsid w:val="5583158B"/>
    <w:rsid w:val="55C0633B"/>
    <w:rsid w:val="57317833"/>
    <w:rsid w:val="575431DF"/>
    <w:rsid w:val="58CB74D0"/>
    <w:rsid w:val="590F350F"/>
    <w:rsid w:val="59387EC6"/>
    <w:rsid w:val="59AD4E28"/>
    <w:rsid w:val="59FE7432"/>
    <w:rsid w:val="5A3572F7"/>
    <w:rsid w:val="5A4A08C9"/>
    <w:rsid w:val="5AD308BE"/>
    <w:rsid w:val="5B9462A0"/>
    <w:rsid w:val="5C1967A5"/>
    <w:rsid w:val="5D4820EE"/>
    <w:rsid w:val="5D4A130C"/>
    <w:rsid w:val="5E9F11E3"/>
    <w:rsid w:val="5EA26F25"/>
    <w:rsid w:val="5EB34C8F"/>
    <w:rsid w:val="5EF62DCD"/>
    <w:rsid w:val="5F24793A"/>
    <w:rsid w:val="5FE1582B"/>
    <w:rsid w:val="5FF94923"/>
    <w:rsid w:val="608D150F"/>
    <w:rsid w:val="60A800F7"/>
    <w:rsid w:val="60E67B72"/>
    <w:rsid w:val="6105554A"/>
    <w:rsid w:val="61C55405"/>
    <w:rsid w:val="623B7475"/>
    <w:rsid w:val="62465E1A"/>
    <w:rsid w:val="62FD0BCE"/>
    <w:rsid w:val="63251ED3"/>
    <w:rsid w:val="64095351"/>
    <w:rsid w:val="64576046"/>
    <w:rsid w:val="64B11C70"/>
    <w:rsid w:val="65037FF2"/>
    <w:rsid w:val="65766A16"/>
    <w:rsid w:val="66187ACD"/>
    <w:rsid w:val="68460921"/>
    <w:rsid w:val="68757459"/>
    <w:rsid w:val="68BE670A"/>
    <w:rsid w:val="68D20407"/>
    <w:rsid w:val="69C75A92"/>
    <w:rsid w:val="6A576E16"/>
    <w:rsid w:val="6A5E0F44"/>
    <w:rsid w:val="6B8A4FC9"/>
    <w:rsid w:val="6CE16E6B"/>
    <w:rsid w:val="6D1A237D"/>
    <w:rsid w:val="6D57712D"/>
    <w:rsid w:val="6F1057E5"/>
    <w:rsid w:val="6FB24AEE"/>
    <w:rsid w:val="71E13469"/>
    <w:rsid w:val="7223242E"/>
    <w:rsid w:val="74687E72"/>
    <w:rsid w:val="768D3BBF"/>
    <w:rsid w:val="76F854DD"/>
    <w:rsid w:val="77C47AB5"/>
    <w:rsid w:val="77EF2D01"/>
    <w:rsid w:val="78324A1E"/>
    <w:rsid w:val="79E47F9A"/>
    <w:rsid w:val="7A884DCA"/>
    <w:rsid w:val="7B1E74DC"/>
    <w:rsid w:val="7B2127B7"/>
    <w:rsid w:val="7CD82038"/>
    <w:rsid w:val="7D4604FB"/>
    <w:rsid w:val="7D847ACA"/>
    <w:rsid w:val="7DBF4FA6"/>
    <w:rsid w:val="7EDF079B"/>
    <w:rsid w:val="7F5D4A77"/>
    <w:rsid w:val="D7D7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character" w:styleId="9">
    <w:name w:val="Hyperlink"/>
    <w:basedOn w:val="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550</Words>
  <Characters>3135</Characters>
  <Lines>26</Lines>
  <Paragraphs>7</Paragraphs>
  <TotalTime>19</TotalTime>
  <ScaleCrop>false</ScaleCrop>
  <LinksUpToDate>false</LinksUpToDate>
  <CharactersWithSpaces>3678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2021-01-19T11:12:00Z</dcterms:created>
  <dc:creator>PC</dc:creator>
  <cp:lastModifiedBy>梦醒时分</cp:lastModifiedBy>
  <dcterms:modified xsi:type="dcterms:W3CDTF">2023-02-15T02:52:50Z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  <property fmtid="{D5CDD505-2E9C-101B-9397-08002B2CF9AE}" pid="3" name="ICV">
    <vt:lpwstr>28BAC613AF3941F0A2F6D63DD416D0A5</vt:lpwstr>
  </property>
</Properties>
</file>