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color w:val="auto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eastAsia="zh-CN"/>
        </w:rPr>
        <w:t>泰安市泰山区自然资源局</w:t>
      </w: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color w:val="auto"/>
          <w:spacing w:val="10"/>
          <w:sz w:val="44"/>
          <w:szCs w:val="44"/>
        </w:rPr>
        <w:t>年政府信息公开工作年度报告</w:t>
      </w:r>
    </w:p>
    <w:p>
      <w:pPr>
        <w:pStyle w:val="5"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根据《中华人民共和国政府信息公开条例》，特向社会公布202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本机关政府信息公开工作年度报告。全文包括：年度报告应当包括总体情况；行政机关主动公开政府信息的情况；行政机关收到和处理政府信息公开申请的情况；因政府信息公开工作被申请行政复议、提起行政诉讼的情况；政府信息公开工作存在的主要问题及改进情况；其他需要报告的事项。报告中所列数据的统计期限自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年1月1日起至202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年12月31日止。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以来</w:t>
      </w:r>
      <w:r>
        <w:rPr>
          <w:rFonts w:hint="eastAsia" w:ascii="仿宋_GB2312" w:eastAsia="仿宋_GB2312"/>
          <w:color w:val="auto"/>
          <w:sz w:val="32"/>
          <w:szCs w:val="32"/>
        </w:rPr>
        <w:t>，我局以习近平新时代中国特色社会主义思想为指导，认真落实党中央、国务院和省、市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、区</w:t>
      </w:r>
      <w:r>
        <w:rPr>
          <w:rFonts w:hint="eastAsia" w:ascii="仿宋_GB2312" w:eastAsia="仿宋_GB2312"/>
          <w:color w:val="auto"/>
          <w:sz w:val="32"/>
          <w:szCs w:val="32"/>
        </w:rPr>
        <w:t>关于全面深化政务公开工作的要求，坚持以人民为中心，不断拓展公开的广度和深度，进一步提升政务公开的“含金量”，</w:t>
      </w:r>
      <w:r>
        <w:rPr>
          <w:rFonts w:hint="eastAsia" w:ascii="仿宋_GB2312" w:eastAsia="仿宋_GB2312"/>
          <w:color w:val="auto"/>
          <w:sz w:val="32"/>
          <w:szCs w:val="32"/>
        </w:rPr>
        <w:t>做好主动公开、依申请公开、政府信息管理、平台建设、监督保障等各项重要工作。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1.主动公开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健全公开目录，加大公开力度。针对公众关注的热点焦点问题，建立健全主动公开基本目录，及时发布工作动态。推进行政检查、公共资源配置等重点领域信息公开。加强政策解读，积极回应群众关切。</w:t>
      </w:r>
    </w:p>
    <w:p>
      <w:pPr>
        <w:ind w:firstLine="643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EDEDED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2.依申请公开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年，本行政机关政府信息公开申请受理4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件，申请涉及土地征收、补偿安置等内容，数量与往年基本持平，已全部答复。</w:t>
      </w:r>
    </w:p>
    <w:p>
      <w:pPr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3.政府信息管理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按照主动公开基本目录，及时更新维护相关信息。加强行政规范性文件管理，严格落实“三统一”和合法性审核，确保源头合法。定期组织开展规范性文件评估、清理。严格信息发布，认真落实《中华人民共和国保守国家秘密法》等规定，按照“谁制作、谁提供、谁审查、谁负责”的原则，建立完善公开审查发布机制，强化风险意识,确保公开信息安全性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政府信息公开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平台建设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定期维护网站平台，确保信息发布及时准确。搭建多元公开平台，拓展信息公开渠道。依托泰安市泰山区人民政府网站，在所属的自然资源专栏，提升优化政府信息公开内容，做到应公开尽公开，同时不断拓宽政府信息公开渠道，积极利用互联网新媒体等平台、渠道公开各类政府信息，同时对政府信息进行多维度展示，提升公开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5.监督保障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加强组织领导。建立由主要领导挂帅、分管领导主抓、办公室牵头、业务科室承办、法规科配合的政府信息公开领导机制。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强化队伍建设。建立信息公开联络员队伍，各科室、单位配备一名信息公开工作联络员，专门负责信息发布和依申请公开办理，积极参加上级组织开展的政府信息工作会议和培训，常态化开展“庭审观摩+以案释法”活动，提高政务公开效率水平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ascii="黑体" w:hAnsi="黑体" w:eastAsia="黑体"/>
          <w:color w:val="auto"/>
          <w:sz w:val="32"/>
          <w:szCs w:val="32"/>
        </w:rPr>
        <w:t>主动公开政府信息情况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ascii="黑体" w:hAnsi="黑体" w:eastAsia="黑体"/>
          <w:color w:val="auto"/>
          <w:sz w:val="32"/>
          <w:szCs w:val="32"/>
        </w:rPr>
        <w:t>收到和处理政府信息公开申请情况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/>
          <w:color w:val="auto"/>
        </w:rPr>
      </w:pPr>
      <w:r>
        <w:rPr>
          <w:rFonts w:ascii="黑体" w:hAnsi="黑体" w:eastAsia="黑体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2023年，本单位政府信息公开有序开展，但也存在一些问题和不足，主要一、是信息公开力量薄弱，对信息公开工作方面的指导、培训太少。二、是面对新时代政务公开工作的新要求，对新要求的实施方法还未完善。三、是对于政务公开工作的相应政策解读、落实工作还不够到位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针对上述问题，我局将多措并举，切实促进信息公开工作规范有序进行。一是坚持问题导向，进一步提高思想认识，加强对《条例》等法律法规的学习，强化对政府信息公开专兼职队伍的建设和能力提升；二是加强业务培训，对信息公开进行统一培训，不断提升工作人员的业务能力。三是加大督促检查力度，查找和分析不足，逐步形成定期检查和通报制度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</w:t>
      </w:r>
      <w:r>
        <w:rPr>
          <w:rFonts w:ascii="黑体" w:hAnsi="黑体" w:eastAsia="黑体"/>
          <w:color w:val="auto"/>
          <w:sz w:val="32"/>
          <w:szCs w:val="32"/>
        </w:rPr>
        <w:t>其他需要报告的事项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2023年，我局按照区委、区政府关于年度政府信息公开工作的决策部署和具体要求，紧紧围绕工作要点，扎实开展各项工作，圆满完成了年度工作任务。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1.依据《政府信息公开信息处理费管理办法》收取信息处理费的情况。2023年，我局无收取信息处理费的事项。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2.本行政机关落实上级年度政务公开工作要点情况。我局政府公开工作相关要求，安排专人进行信息更新，圆满完成各项公开工作。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3.本行政机关人大代表建议和政协提案办理结果公开情况。2023年，我局共受理人大代表建议2件，政协委员提案1件。收到建议提案后，我局对此高度重视，立即安排局分工领导和相关科室进行专门研究，安排专人与建议人、提案人联系、沟通，在规定的答复期限内办理完毕，并进行书面答复。人大代表、政协委员未有异议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4.本行政机关年度政务公开工作创新情况。202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val="en-US" w:eastAsia="zh-CN" w:bidi="ar-SA"/>
        </w:rPr>
        <w:t>年，我局结合局工作实际，制定了全面发力、重点突破、纵深推进的工作基调，明确政务公开工作的主要目标及工作流程，大大提高了政务公开的有效运转。</w:t>
      </w:r>
    </w:p>
    <w:p>
      <w:pPr>
        <w:rPr>
          <w:rFonts w:hint="default" w:ascii="仿宋_GB2312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bookmarkStart w:id="10" w:name="_GoBack"/>
      <w:bookmarkEnd w:id="10"/>
    </w:p>
    <w:sectPr>
      <w:footerReference r:id="rId3" w:type="default"/>
      <w:pgSz w:w="11906" w:h="16838"/>
      <w:pgMar w:top="1134" w:right="1588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3190876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B"/>
    <w:rsid w:val="003F5380"/>
    <w:rsid w:val="005F04B3"/>
    <w:rsid w:val="007043DD"/>
    <w:rsid w:val="00725311"/>
    <w:rsid w:val="007C0E41"/>
    <w:rsid w:val="008260F2"/>
    <w:rsid w:val="008510D4"/>
    <w:rsid w:val="008E79FC"/>
    <w:rsid w:val="009036FB"/>
    <w:rsid w:val="00A6635A"/>
    <w:rsid w:val="00A935C0"/>
    <w:rsid w:val="04624A99"/>
    <w:rsid w:val="04661011"/>
    <w:rsid w:val="04BD1BA7"/>
    <w:rsid w:val="0B7E15E2"/>
    <w:rsid w:val="0BE44893"/>
    <w:rsid w:val="0C197EFD"/>
    <w:rsid w:val="0C886EAB"/>
    <w:rsid w:val="11421ED4"/>
    <w:rsid w:val="118F7958"/>
    <w:rsid w:val="153C0E2B"/>
    <w:rsid w:val="15EC255D"/>
    <w:rsid w:val="17600C4E"/>
    <w:rsid w:val="1DCF03F4"/>
    <w:rsid w:val="20315E0F"/>
    <w:rsid w:val="20792A83"/>
    <w:rsid w:val="21537630"/>
    <w:rsid w:val="283D0195"/>
    <w:rsid w:val="2D126E0D"/>
    <w:rsid w:val="2D8A785A"/>
    <w:rsid w:val="2ED9699B"/>
    <w:rsid w:val="2EF47124"/>
    <w:rsid w:val="31473E7A"/>
    <w:rsid w:val="318E1295"/>
    <w:rsid w:val="364F21ED"/>
    <w:rsid w:val="372142C2"/>
    <w:rsid w:val="373A33C3"/>
    <w:rsid w:val="388A4CBC"/>
    <w:rsid w:val="3BF75330"/>
    <w:rsid w:val="3FF605CD"/>
    <w:rsid w:val="468B3F91"/>
    <w:rsid w:val="4DC302A1"/>
    <w:rsid w:val="4E2F67D9"/>
    <w:rsid w:val="50CD4459"/>
    <w:rsid w:val="51716209"/>
    <w:rsid w:val="540366B0"/>
    <w:rsid w:val="54951B3E"/>
    <w:rsid w:val="59186333"/>
    <w:rsid w:val="5EEDC3F8"/>
    <w:rsid w:val="60DA1397"/>
    <w:rsid w:val="635D0996"/>
    <w:rsid w:val="65FF0DA3"/>
    <w:rsid w:val="671F2A18"/>
    <w:rsid w:val="6D876F5F"/>
    <w:rsid w:val="6FC23B21"/>
    <w:rsid w:val="732267F0"/>
    <w:rsid w:val="76DDF9C0"/>
    <w:rsid w:val="77B81EDB"/>
    <w:rsid w:val="7A387F61"/>
    <w:rsid w:val="7AF79EE2"/>
    <w:rsid w:val="7E5C8C4E"/>
    <w:rsid w:val="7F3F70A9"/>
    <w:rsid w:val="7F7F0ED8"/>
    <w:rsid w:val="7FFEDE2F"/>
    <w:rsid w:val="8FBBAD1D"/>
    <w:rsid w:val="BC375350"/>
    <w:rsid w:val="F77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Www.Ndeer.Com</Company>
  <Pages>6</Pages>
  <Words>2619</Words>
  <Characters>2694</Characters>
  <Lines>30</Lines>
  <Paragraphs>8</Paragraphs>
  <TotalTime>35</TotalTime>
  <ScaleCrop>false</ScaleCrop>
  <LinksUpToDate>false</LinksUpToDate>
  <CharactersWithSpaces>2695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2020-01-08T02:42:00Z</dcterms:created>
  <dc:creator>Administrator</dc:creator>
  <cp:lastModifiedBy>Administrator</cp:lastModifiedBy>
  <cp:lastPrinted>2024-01-08T07:36:09Z</cp:lastPrinted>
  <dcterms:modified xsi:type="dcterms:W3CDTF">2024-01-09T01:58:31Z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6BA747B94F1A432F81457F2A10ABE3FE</vt:lpwstr>
  </property>
</Properties>
</file>