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600" w:lineRule="exact"/>
        <w:jc w:val="center"/>
        <w:rPr>
          <w:rFonts w:ascii="Times New Roman" w:hAnsi="Times New Roman" w:eastAsia="方正小标宋简体"/>
          <w:spacing w:val="10"/>
          <w:sz w:val="44"/>
          <w:szCs w:val="44"/>
          <w:lang w:val="en"/>
        </w:rPr>
      </w:pPr>
      <w:r>
        <w:rPr>
          <w:rFonts w:hint="eastAsia" w:ascii="Times New Roman" w:hAnsi="Times New Roman" w:eastAsia="方正小标宋简体"/>
          <w:spacing w:val="10"/>
          <w:sz w:val="44"/>
          <w:szCs w:val="44"/>
          <w:lang w:val="en"/>
        </w:rPr>
        <w:t>泰安市泰山区教育和体育局202</w:t>
      </w:r>
      <w:r>
        <w:rPr>
          <w:rFonts w:ascii="Times New Roman" w:hAnsi="Times New Roman" w:eastAsia="方正小标宋简体"/>
          <w:spacing w:val="10"/>
          <w:sz w:val="44"/>
          <w:szCs w:val="44"/>
          <w:lang w:val="en"/>
        </w:rPr>
        <w:t>4年政府信息公开工作年度报告</w:t>
      </w:r>
    </w:p>
    <w:p>
      <w:pPr>
        <w:pStyle w:val="4"/>
        <w:spacing w:beforeAutospacing="0" w:afterAutospacing="0"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pStyle w:val="4"/>
        <w:spacing w:beforeAutospacing="0" w:afterAutospacing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根据《中华人民共和国政府信息公开条例》，特向社会公布202</w:t>
      </w:r>
      <w:r>
        <w:rPr>
          <w:rFonts w:ascii="仿宋_GB2312" w:eastAsia="仿宋_GB2312"/>
          <w:sz w:val="32"/>
          <w:szCs w:val="32"/>
          <w:lang w:val="en"/>
        </w:rPr>
        <w:t>4</w:t>
      </w:r>
      <w:r>
        <w:rPr>
          <w:rFonts w:hint="eastAsia" w:ascii="仿宋_GB2312" w:eastAsia="仿宋_GB2312"/>
          <w:sz w:val="32"/>
          <w:szCs w:val="32"/>
        </w:rPr>
        <w:t>年本机关政府信息公开工作年度报告。全文包括：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ascii="仿宋_GB2312" w:eastAsia="仿宋_GB2312"/>
          <w:sz w:val="32"/>
          <w:szCs w:val="32"/>
          <w:lang w:val="en"/>
        </w:rPr>
        <w:t>4</w:t>
      </w:r>
      <w:r>
        <w:rPr>
          <w:rFonts w:hint="eastAsia" w:ascii="仿宋_GB2312" w:eastAsia="仿宋_GB2312"/>
          <w:sz w:val="32"/>
          <w:szCs w:val="32"/>
        </w:rPr>
        <w:t>年1月1日起至202</w:t>
      </w:r>
      <w:r>
        <w:rPr>
          <w:rFonts w:ascii="仿宋_GB2312" w:eastAsia="仿宋_GB2312"/>
          <w:sz w:val="32"/>
          <w:szCs w:val="32"/>
          <w:lang w:val="en"/>
        </w:rPr>
        <w:t>4</w:t>
      </w:r>
      <w:r>
        <w:rPr>
          <w:rFonts w:hint="eastAsia" w:ascii="仿宋_GB2312" w:eastAsia="仿宋_GB2312"/>
          <w:sz w:val="32"/>
          <w:szCs w:val="32"/>
        </w:rPr>
        <w:t>年12月31日止。</w:t>
      </w:r>
    </w:p>
    <w:p>
      <w:pPr>
        <w:pStyle w:val="4"/>
        <w:widowControl/>
        <w:spacing w:beforeAutospacing="0" w:afterAutospacing="0" w:line="420" w:lineRule="atLeast"/>
        <w:ind w:firstLine="642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</w:rPr>
        <w:t>一、总体情况</w:t>
      </w:r>
    </w:p>
    <w:p>
      <w:pPr>
        <w:pStyle w:val="4"/>
        <w:spacing w:beforeAutospacing="0" w:afterAutospacing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，区教体局认真贯彻落实《中华人民共和国政府信息公开条例》有关规定和要求，按照区委、区政府的要求和统一部署，积极推进政府信息公开各项工作，以公开促落实、以公开促规范、以公开促服务，不断优化政务环境。现将有关情况报告如下：</w:t>
      </w:r>
    </w:p>
    <w:p>
      <w:pPr>
        <w:pStyle w:val="4"/>
        <w:spacing w:beforeAutospacing="0" w:afterAutospacing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1.主动公开。</w:t>
      </w:r>
      <w:r>
        <w:rPr>
          <w:rFonts w:hint="eastAsia" w:ascii="仿宋_GB2312" w:eastAsia="仿宋_GB2312"/>
          <w:sz w:val="32"/>
          <w:szCs w:val="32"/>
        </w:rPr>
        <w:t>在区政府网站主动公开各类信息92条，内容包括部门文件、机构设置、规划信息、财政预决算、行政权力运行公开、政策解读与回应、业务工作、重点领域信息公开等。</w:t>
      </w:r>
    </w:p>
    <w:p>
      <w:pPr>
        <w:pStyle w:val="4"/>
        <w:spacing w:beforeAutospacing="0" w:afterAutospacing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2.依申请公开。202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年，我局共收到政府信息公开申请1条，受理依申请公开信息1条</w:t>
      </w:r>
      <w:r>
        <w:rPr>
          <w:rFonts w:hint="eastAsia" w:ascii="仿宋_GB2312" w:eastAsia="仿宋_GB2312"/>
          <w:sz w:val="32"/>
          <w:szCs w:val="32"/>
        </w:rPr>
        <w:t>，全年未收取信息处理费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4"/>
        <w:spacing w:beforeAutospacing="0" w:afterAutospacing="0" w:line="600" w:lineRule="exact"/>
        <w:ind w:firstLine="640" w:firstLineChars="200"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3.政府信息管理。区教体局认真贯彻落实信息公开条例规定，</w:t>
      </w:r>
      <w:r>
        <w:rPr>
          <w:rFonts w:hint="eastAsia" w:ascii="仿宋_GB2312" w:eastAsia="仿宋_GB2312"/>
          <w:sz w:val="32"/>
          <w:szCs w:val="32"/>
        </w:rPr>
        <w:t>结合区政务公开工作要点，</w:t>
      </w:r>
      <w:r>
        <w:rPr>
          <w:rFonts w:ascii="仿宋_GB2312" w:eastAsia="仿宋_GB2312"/>
          <w:sz w:val="32"/>
          <w:szCs w:val="32"/>
        </w:rPr>
        <w:t>制定了《泰安市泰山区教育和体育局202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年度政务公开工作实施方案》，</w:t>
      </w:r>
      <w:r>
        <w:rPr>
          <w:rFonts w:hint="eastAsia" w:ascii="仿宋_GB2312" w:eastAsia="仿宋_GB2312"/>
          <w:sz w:val="32"/>
          <w:szCs w:val="32"/>
        </w:rPr>
        <w:t>及时更新教育领域相关信息，同时做好信息公开前的保密审查工作，做到公开法定，不应公开的坚决守住，统筹做好公开与安全，不断推进我局政务公开工作。</w:t>
      </w:r>
    </w:p>
    <w:p>
      <w:pPr>
        <w:pStyle w:val="4"/>
        <w:spacing w:beforeAutospacing="0" w:afterAutospacing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4.政府信息公开平台建设。</w:t>
      </w:r>
      <w:r>
        <w:rPr>
          <w:rFonts w:hint="eastAsia" w:ascii="仿宋_GB2312" w:eastAsia="仿宋_GB2312"/>
          <w:sz w:val="32"/>
          <w:szCs w:val="32"/>
        </w:rPr>
        <w:t>充分利用政府网站、泰山杏坛、政务服务大厅等平台，全方位、多渠道公开教育领域信息。</w:t>
      </w:r>
      <w:r>
        <w:rPr>
          <w:rFonts w:hint="eastAsia" w:ascii="仿宋_GB2312" w:eastAsia="仿宋_GB2312"/>
          <w:sz w:val="32"/>
          <w:szCs w:val="32"/>
          <w:lang w:eastAsia="zh-CN"/>
        </w:rPr>
        <w:t>加强区</w:t>
      </w:r>
      <w:r>
        <w:rPr>
          <w:rFonts w:hint="eastAsia" w:ascii="仿宋_GB2312" w:eastAsia="仿宋_GB2312"/>
          <w:sz w:val="32"/>
          <w:szCs w:val="32"/>
        </w:rPr>
        <w:t>政府网站</w:t>
      </w:r>
      <w:r>
        <w:rPr>
          <w:rFonts w:hint="eastAsia" w:ascii="仿宋_GB2312" w:eastAsia="仿宋_GB2312"/>
          <w:sz w:val="32"/>
          <w:szCs w:val="32"/>
          <w:lang w:eastAsia="zh-CN"/>
        </w:rPr>
        <w:t>义务</w:t>
      </w:r>
      <w:r>
        <w:rPr>
          <w:rFonts w:hint="eastAsia" w:ascii="仿宋_GB2312" w:eastAsia="仿宋_GB2312"/>
          <w:sz w:val="32"/>
          <w:szCs w:val="32"/>
        </w:rPr>
        <w:t>教育</w:t>
      </w:r>
      <w:r>
        <w:rPr>
          <w:rFonts w:hint="eastAsia" w:ascii="仿宋_GB2312" w:eastAsia="仿宋_GB2312"/>
          <w:sz w:val="32"/>
          <w:szCs w:val="32"/>
          <w:lang w:eastAsia="zh-CN"/>
        </w:rPr>
        <w:t>专题</w:t>
      </w:r>
      <w:r>
        <w:rPr>
          <w:rFonts w:hint="eastAsia" w:ascii="仿宋_GB2312" w:eastAsia="仿宋_GB2312"/>
          <w:sz w:val="32"/>
          <w:szCs w:val="32"/>
        </w:rPr>
        <w:t>专栏</w:t>
      </w:r>
      <w:r>
        <w:rPr>
          <w:rFonts w:hint="eastAsia" w:ascii="仿宋_GB2312" w:eastAsia="仿宋_GB2312"/>
          <w:sz w:val="32"/>
          <w:szCs w:val="32"/>
          <w:lang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，集中发布教育政策法规、招生考试、教师招聘等重点信息；通过</w:t>
      </w:r>
      <w:r>
        <w:rPr>
          <w:rFonts w:hint="eastAsia" w:ascii="仿宋_GB2312" w:eastAsia="仿宋_GB2312"/>
          <w:sz w:val="32"/>
          <w:szCs w:val="32"/>
          <w:lang w:eastAsia="zh-CN"/>
        </w:rPr>
        <w:t>和美泰山</w:t>
      </w:r>
      <w:r>
        <w:rPr>
          <w:rFonts w:hint="eastAsia" w:ascii="仿宋_GB2312" w:eastAsia="仿宋_GB2312"/>
          <w:sz w:val="32"/>
          <w:szCs w:val="32"/>
        </w:rPr>
        <w:t>、泰山杏坛</w:t>
      </w:r>
      <w:r>
        <w:rPr>
          <w:rFonts w:hint="eastAsia" w:ascii="仿宋_GB2312" w:eastAsia="仿宋_GB2312"/>
          <w:sz w:val="32"/>
          <w:szCs w:val="32"/>
          <w:lang w:eastAsia="zh-CN"/>
        </w:rPr>
        <w:t>微信公众号</w:t>
      </w:r>
      <w:r>
        <w:rPr>
          <w:rFonts w:hint="eastAsia" w:ascii="仿宋_GB2312" w:eastAsia="仿宋_GB2312"/>
          <w:sz w:val="32"/>
          <w:szCs w:val="32"/>
        </w:rPr>
        <w:t>等新媒体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，及时推送教育动态、工作亮点等内容，方便群众获取信息；在政务服务大厅设置教育服务窗口，提供政策咨询、办事指引等服务，并公开相关办事流程和资料。</w:t>
      </w:r>
    </w:p>
    <w:p>
      <w:pPr>
        <w:pStyle w:val="4"/>
        <w:spacing w:beforeAutospacing="0" w:afterAutospacing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5.监督保障。</w:t>
      </w:r>
      <w:r>
        <w:rPr>
          <w:rFonts w:hint="eastAsia" w:ascii="仿宋_GB2312" w:eastAsia="仿宋_GB2312"/>
          <w:sz w:val="32"/>
          <w:szCs w:val="32"/>
        </w:rPr>
        <w:t>一是我局安排专人从事政务公开工作，以领导主抓，科室分工的形式，推进、指导、协调、监督全局政府信息公开和政务公开工作。二是逐级压实责任。各科室明确专人负责政府信息公开工作，信息发布前做好信息的保密审查工作，保障信息的公开的质量。</w:t>
      </w:r>
    </w:p>
    <w:p>
      <w:pPr>
        <w:pStyle w:val="4"/>
        <w:widowControl/>
        <w:spacing w:beforeAutospacing="0" w:afterAutospacing="0" w:line="420" w:lineRule="atLeas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</w:rPr>
        <w:t>二、主动公开政府信息情况</w:t>
      </w:r>
    </w:p>
    <w:tbl>
      <w:tblPr>
        <w:tblStyle w:val="5"/>
        <w:tblW w:w="882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0</w:t>
            </w:r>
          </w:p>
        </w:tc>
      </w:tr>
    </w:tbl>
    <w:p>
      <w:pPr>
        <w:pStyle w:val="4"/>
        <w:widowControl/>
        <w:spacing w:beforeAutospacing="0" w:afterAutospacing="0" w:line="420" w:lineRule="atLeas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</w:rPr>
        <w:t>三、收到和处理政府信息公开申请情况</w:t>
      </w:r>
    </w:p>
    <w:tbl>
      <w:tblPr>
        <w:tblStyle w:val="5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420" w:lineRule="atLeas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  <w:bookmarkStart w:id="10" w:name="_GoBack"/>
            <w:bookmarkEnd w:id="10"/>
          </w:p>
        </w:tc>
      </w:tr>
    </w:tbl>
    <w:p>
      <w:pPr>
        <w:pStyle w:val="4"/>
        <w:widowControl/>
        <w:spacing w:beforeAutospacing="0" w:afterAutospacing="0" w:line="420" w:lineRule="atLeast"/>
        <w:rPr>
          <w:rStyle w:val="7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</w:rPr>
        <w:t>五、存在的主要问题及改进情况</w:t>
      </w:r>
    </w:p>
    <w:p>
      <w:pPr>
        <w:pStyle w:val="4"/>
        <w:widowControl/>
        <w:spacing w:beforeAutospacing="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存在问题：</w:t>
      </w:r>
    </w:p>
    <w:p>
      <w:pPr>
        <w:pStyle w:val="4"/>
        <w:widowControl/>
        <w:spacing w:beforeAutospacing="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准确性和时效性有待提高：一些发布的信息存在数据错误、表述模糊的情况。在政策解读中，对政策条款的解释不够精准，容易造成公众误解。</w:t>
      </w:r>
    </w:p>
    <w:p>
      <w:pPr>
        <w:pStyle w:val="4"/>
        <w:widowControl/>
        <w:spacing w:beforeAutospacing="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部分政务新媒体账号运营质量不高，存在更新频率低、互动性差的问题，没有充分发挥新媒体平台传播快、互动强的优势。</w:t>
      </w:r>
    </w:p>
    <w:p>
      <w:pPr>
        <w:pStyle w:val="4"/>
        <w:widowControl/>
        <w:spacing w:beforeAutospacing="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改进情况：</w:t>
      </w:r>
    </w:p>
    <w:p>
      <w:pPr>
        <w:pStyle w:val="4"/>
        <w:widowControl/>
        <w:spacing w:beforeAutospacing="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信息发布预警机制，对于时效性强的信息，如应急管理、政策法规更新等，要求相关科室在规定时间内完成信息收集、审核和发布工作。加强信息发布后的跟踪管理，及时对过期信息进行清理和更新，确保公众获取到的信息始终是最新、有效的。</w:t>
      </w:r>
    </w:p>
    <w:p>
      <w:pPr>
        <w:pStyle w:val="4"/>
        <w:widowControl/>
        <w:spacing w:beforeAutospacing="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通过培训提升人员业务能力，提高信息发布频率和质量。同时，鼓励创新新媒体传播形式，采用短视频、动画等群众喜闻乐见的方式传播政务信息。</w:t>
      </w:r>
    </w:p>
    <w:p>
      <w:pPr>
        <w:pStyle w:val="4"/>
        <w:widowControl/>
        <w:spacing w:beforeAutospacing="0" w:afterAutospacing="0" w:line="420" w:lineRule="atLeast"/>
        <w:rPr>
          <w:rStyle w:val="7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7"/>
          <w:rFonts w:ascii="黑体" w:hAnsi="黑体" w:eastAsia="黑体" w:cs="黑体"/>
          <w:color w:val="000000"/>
          <w:sz w:val="32"/>
          <w:szCs w:val="32"/>
        </w:rPr>
        <w:t>六、其他需要报告的事项</w:t>
      </w:r>
    </w:p>
    <w:p>
      <w:pPr>
        <w:pStyle w:val="4"/>
        <w:widowControl/>
        <w:spacing w:beforeAutospacing="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1.收取信息处理费的情况。依据《政府信息公开信息处理费管理办法》，我局本年度没有收取信息处理费。</w:t>
      </w:r>
    </w:p>
    <w:p>
      <w:pPr>
        <w:pStyle w:val="4"/>
        <w:widowControl/>
        <w:spacing w:beforeAutospacing="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本行政机关落实上级年度政务公开工作要点情况。区教体局积极落实区政府办政务公开工作相关要求，逐级明确要求、压实责任，每季度开展一次内部检查活动；调度相关学校及时更新有关栏目，推动政务公开工作深入开展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3.本行政机关人大代表建议和政协提案办理结果公开情况。202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年，我局共受理人大代表建议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件，受理政协会议提案2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共计28件。我单位吸收采纳了28条，吸收采纳率100%。</w:t>
      </w:r>
      <w:r>
        <w:rPr>
          <w:rFonts w:ascii="仿宋_GB2312" w:hAnsi="仿宋_GB2312" w:eastAsia="仿宋_GB2312" w:cs="仿宋_GB2312"/>
          <w:sz w:val="32"/>
          <w:szCs w:val="32"/>
        </w:rPr>
        <w:t>对承办的建议、提案明确责任科室、分管领导、办理质量、时限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要求，安排办公室牵头抓总，确保办理工作及时有效。</w:t>
      </w:r>
    </w:p>
    <w:p>
      <w:pPr>
        <w:pStyle w:val="4"/>
        <w:widowControl/>
        <w:spacing w:beforeAutospacing="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4.本行政机关年度政务公开工作创新情况。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充分利用多种媒体形式的优势，将文字、图片、图表、音频、视频等有机结合。对于复杂的政策文件，制作生动形象的专人解读视频，以通俗易懂的语言讲解政策要点，提高公众的理解度和接受度。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B7CDE"/>
    <w:rsid w:val="003E28C3"/>
    <w:rsid w:val="006B4115"/>
    <w:rsid w:val="009B2289"/>
    <w:rsid w:val="00BE6D62"/>
    <w:rsid w:val="00F13FF3"/>
    <w:rsid w:val="39CB40BB"/>
    <w:rsid w:val="3EA01F60"/>
    <w:rsid w:val="4E9E6D0A"/>
    <w:rsid w:val="525B7CDE"/>
    <w:rsid w:val="7CBB3947"/>
    <w:rsid w:val="7E7FE8A6"/>
    <w:rsid w:val="7F7F4092"/>
    <w:rsid w:val="AF151CB0"/>
    <w:rsid w:val="E7DDE8A9"/>
    <w:rsid w:val="F6FFB21C"/>
    <w:rsid w:val="FAFFBDE3"/>
    <w:rsid w:val="FFDFF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441</Words>
  <Characters>2514</Characters>
  <Lines>20</Lines>
  <Paragraphs>5</Paragraphs>
  <TotalTime>4</TotalTime>
  <ScaleCrop>false</ScaleCrop>
  <LinksUpToDate>false</LinksUpToDate>
  <CharactersWithSpaces>2950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2025-01-17T23:28:00Z</dcterms:created>
  <dc:creator>张立祥</dc:creator>
  <cp:lastModifiedBy>kylin</cp:lastModifiedBy>
  <dcterms:modified xsi:type="dcterms:W3CDTF">2025-01-17T17:22:01Z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7A3C721229C5455C9061B230DD611E28_11</vt:lpwstr>
  </property>
  <property fmtid="{D5CDD505-2E9C-101B-9397-08002B2CF9AE}" pid="4" name="KSOTemplateDocerSaveRecord">
    <vt:lpwstr>eyJoZGlkIjoiMTNlYzBjMmZiMGM2YzI2NjczYWMxNzQ4MGI2MTY1YTkiLCJ1c2VySWQiOiIzOTY4OTU2NDQifQ==</vt:lpwstr>
  </property>
</Properties>
</file>