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ascii="Times New Roman" w:hAnsi="Times New Roman" w:eastAsia="方正小标宋简体"/>
          <w:color w:val="auto"/>
          <w:spacing w:val="10"/>
          <w:sz w:val="44"/>
          <w:szCs w:val="44"/>
        </w:rPr>
      </w:pPr>
      <w:bookmarkStart w:id="10" w:name="_GoBack"/>
      <w:r>
        <w:rPr>
          <w:rFonts w:hint="eastAsia" w:ascii="Times New Roman" w:hAnsi="Times New Roman" w:eastAsia="方正小标宋简体"/>
          <w:color w:val="auto"/>
          <w:spacing w:val="10"/>
          <w:sz w:val="44"/>
          <w:szCs w:val="44"/>
          <w:lang w:val="en-US" w:eastAsia="zh-CN"/>
        </w:rPr>
        <w:t>泰安市泰山区司法局</w:t>
      </w:r>
      <w:r>
        <w:rPr>
          <w:rFonts w:hint="eastAsia" w:ascii="Times New Roman" w:hAnsi="Times New Roman" w:eastAsia="方正小标宋简体"/>
          <w:color w:val="auto"/>
          <w:spacing w:val="10"/>
          <w:sz w:val="44"/>
          <w:szCs w:val="44"/>
        </w:rPr>
        <w:t>202</w:t>
      </w:r>
      <w:r>
        <w:rPr>
          <w:rFonts w:hint="default" w:ascii="Times New Roman" w:hAnsi="Times New Roman" w:eastAsia="方正小标宋简体"/>
          <w:color w:val="auto"/>
          <w:spacing w:val="10"/>
          <w:sz w:val="44"/>
          <w:szCs w:val="44"/>
          <w:lang w:val="en"/>
        </w:rPr>
        <w:t>4</w:t>
      </w:r>
      <w:r>
        <w:rPr>
          <w:rFonts w:ascii="Times New Roman" w:hAnsi="Times New Roman" w:eastAsia="方正小标宋简体"/>
          <w:color w:val="auto"/>
          <w:spacing w:val="10"/>
          <w:sz w:val="44"/>
          <w:szCs w:val="44"/>
        </w:rPr>
        <w:t>年政府信息公开工作年度报告</w:t>
      </w:r>
    </w:p>
    <w:bookmarkEnd w:id="10"/>
    <w:p>
      <w:pPr>
        <w:pStyle w:val="5"/>
        <w:spacing w:before="0" w:beforeAutospacing="0" w:after="0" w:afterAutospacing="0" w:line="600" w:lineRule="exact"/>
        <w:jc w:val="both"/>
        <w:rPr>
          <w:rFonts w:ascii="Times New Roman" w:hAnsi="Times New Roman" w:eastAsia="方正小标宋简体"/>
          <w:color w:val="auto"/>
          <w:sz w:val="44"/>
          <w:szCs w:val="44"/>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根据《中华人民共和国政府信息公开条例》，特向社会公布202</w:t>
      </w:r>
      <w:r>
        <w:rPr>
          <w:rFonts w:hint="default" w:ascii="仿宋_GB2312" w:eastAsia="仿宋_GB2312"/>
          <w:color w:val="auto"/>
          <w:sz w:val="32"/>
          <w:szCs w:val="32"/>
          <w:lang w:val="en"/>
        </w:rPr>
        <w:t>4</w:t>
      </w:r>
      <w:r>
        <w:rPr>
          <w:rFonts w:hint="eastAsia" w:ascii="仿宋_GB2312" w:eastAsia="仿宋_GB2312"/>
          <w:color w:val="auto"/>
          <w:sz w:val="32"/>
          <w:szCs w:val="32"/>
        </w:rPr>
        <w:t>年本机关政府信息公开工作年度报告。全文包括：总体情况；行政机关主动公开政府信息的情况；行政机关收到和处理政府信息公开申请的情况；因政府信息公开工作被申请行政复议、提起行政诉讼的情况；政府信息公开工作存在的主要问题及改进情况；其他需要报告的事项。报告中所列数据的统计期限自202</w:t>
      </w:r>
      <w:r>
        <w:rPr>
          <w:rFonts w:hint="default" w:ascii="仿宋_GB2312" w:eastAsia="仿宋_GB2312"/>
          <w:color w:val="auto"/>
          <w:sz w:val="32"/>
          <w:szCs w:val="32"/>
          <w:lang w:val="en"/>
        </w:rPr>
        <w:t>4</w:t>
      </w:r>
      <w:r>
        <w:rPr>
          <w:rFonts w:hint="eastAsia" w:ascii="仿宋_GB2312" w:eastAsia="仿宋_GB2312"/>
          <w:color w:val="auto"/>
          <w:sz w:val="32"/>
          <w:szCs w:val="32"/>
        </w:rPr>
        <w:t>年1月1日起至202</w:t>
      </w:r>
      <w:r>
        <w:rPr>
          <w:rFonts w:hint="default" w:ascii="仿宋_GB2312" w:eastAsia="仿宋_GB2312"/>
          <w:color w:val="auto"/>
          <w:sz w:val="32"/>
          <w:szCs w:val="32"/>
          <w:lang w:val="en"/>
        </w:rPr>
        <w:t>4</w:t>
      </w:r>
      <w:r>
        <w:rPr>
          <w:rFonts w:hint="eastAsia" w:ascii="仿宋_GB2312" w:eastAsia="仿宋_GB2312"/>
          <w:color w:val="auto"/>
          <w:sz w:val="32"/>
          <w:szCs w:val="32"/>
        </w:rPr>
        <w:t>年12月31日止。</w:t>
      </w:r>
    </w:p>
    <w:p>
      <w:pPr>
        <w:pStyle w:val="5"/>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olor w:val="auto"/>
          <w:sz w:val="32"/>
          <w:szCs w:val="32"/>
        </w:rPr>
      </w:pPr>
      <w:r>
        <w:rPr>
          <w:rFonts w:ascii="黑体" w:hAnsi="黑体" w:eastAsia="黑体"/>
          <w:color w:val="auto"/>
          <w:sz w:val="32"/>
          <w:szCs w:val="32"/>
        </w:rPr>
        <w:t>总体情况</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2024年，我局高度重视政府信息公开工作，根据</w:t>
      </w:r>
      <w:r>
        <w:rPr>
          <w:rFonts w:hint="eastAsia" w:ascii="仿宋_GB2312" w:eastAsia="仿宋_GB2312"/>
          <w:color w:val="auto"/>
          <w:sz w:val="32"/>
          <w:szCs w:val="32"/>
          <w:lang w:val="en-US" w:eastAsia="zh-CN"/>
        </w:rPr>
        <w:t>泰山区</w:t>
      </w:r>
      <w:r>
        <w:rPr>
          <w:rFonts w:hint="eastAsia" w:ascii="仿宋_GB2312" w:eastAsia="仿宋_GB2312"/>
          <w:color w:val="auto"/>
          <w:sz w:val="32"/>
          <w:szCs w:val="32"/>
        </w:rPr>
        <w:t>人民政府关于政务公开工作的要求，认真贯彻落实文件精神，及时、准确地向社会公开政府信息，保障公民知情权，参与权和监督权，把推进政府信息公开与转变政府职能、规范权力运行、促进依法行政紧密结合起来</w:t>
      </w:r>
      <w:r>
        <w:rPr>
          <w:rFonts w:hint="eastAsia" w:ascii="仿宋_GB2312" w:eastAsia="仿宋_GB2312"/>
          <w:color w:val="auto"/>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Calibri" w:eastAsia="仿宋_GB2312" w:cs="Times New Roman"/>
          <w:color w:val="auto"/>
          <w:kern w:val="0"/>
          <w:sz w:val="32"/>
          <w:szCs w:val="32"/>
          <w:lang w:val="en-US" w:eastAsia="zh-CN" w:bidi="ar-SA"/>
        </w:rPr>
      </w:pPr>
      <w:r>
        <w:rPr>
          <w:rFonts w:hint="eastAsia" w:ascii="仿宋_GB2312" w:eastAsia="仿宋_GB2312"/>
          <w:b/>
          <w:bCs/>
          <w:color w:val="auto"/>
          <w:sz w:val="32"/>
          <w:szCs w:val="32"/>
          <w:lang w:val="en-US" w:eastAsia="zh-CN"/>
        </w:rPr>
        <w:t>1.</w:t>
      </w:r>
      <w:r>
        <w:rPr>
          <w:rFonts w:ascii="仿宋_GB2312" w:eastAsia="仿宋_GB2312"/>
          <w:b/>
          <w:bCs/>
          <w:color w:val="auto"/>
          <w:sz w:val="32"/>
          <w:szCs w:val="32"/>
        </w:rPr>
        <w:t>主动公开</w:t>
      </w:r>
      <w:r>
        <w:rPr>
          <w:rFonts w:hint="eastAsia" w:ascii="仿宋_GB2312" w:eastAsia="仿宋_GB2312"/>
          <w:b/>
          <w:bCs/>
          <w:color w:val="auto"/>
          <w:sz w:val="32"/>
          <w:szCs w:val="32"/>
          <w:lang w:eastAsia="zh-CN"/>
        </w:rPr>
        <w:t>。</w:t>
      </w:r>
      <w:r>
        <w:rPr>
          <w:rFonts w:hint="eastAsia" w:ascii="仿宋_GB2312" w:hAnsi="Calibri" w:eastAsia="仿宋_GB2312" w:cs="Times New Roman"/>
          <w:color w:val="auto"/>
          <w:kern w:val="0"/>
          <w:sz w:val="32"/>
          <w:szCs w:val="32"/>
          <w:lang w:val="en-US" w:eastAsia="zh-CN" w:bidi="ar-SA"/>
        </w:rPr>
        <w:t>泰山区司法局主要通过泰山区人民政府门户网站进行公开，在区政府信息公开专栏公开2024年工作要点、机构职能、人事信息、决策公开、执行和落实情况公开、重大项目进度、业务动态、组织管理、政策解读与回应、重点领域信息公开等方面信息50余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textAlignment w:val="auto"/>
        <w:rPr>
          <w:rFonts w:ascii="仿宋_GB2312" w:eastAsia="仿宋_GB2312"/>
          <w:color w:val="auto"/>
          <w:sz w:val="32"/>
          <w:szCs w:val="32"/>
        </w:rPr>
      </w:pPr>
      <w:r>
        <w:rPr>
          <w:rFonts w:ascii="仿宋_GB2312" w:eastAsia="仿宋_GB2312"/>
          <w:b/>
          <w:bCs/>
          <w:color w:val="auto"/>
          <w:sz w:val="32"/>
          <w:szCs w:val="32"/>
        </w:rPr>
        <w:t>2.依申请公开</w:t>
      </w:r>
      <w:r>
        <w:rPr>
          <w:rFonts w:hint="eastAsia" w:ascii="仿宋_GB2312" w:eastAsia="仿宋_GB2312"/>
          <w:b/>
          <w:bCs/>
          <w:color w:val="auto"/>
          <w:sz w:val="32"/>
          <w:szCs w:val="32"/>
        </w:rPr>
        <w:t>。</w:t>
      </w:r>
      <w:r>
        <w:rPr>
          <w:rFonts w:hint="eastAsia" w:ascii="仿宋_GB2312" w:eastAsia="仿宋_GB2312"/>
          <w:color w:val="auto"/>
          <w:sz w:val="32"/>
          <w:szCs w:val="32"/>
          <w:lang w:val="en-US" w:eastAsia="zh-CN"/>
        </w:rPr>
        <w:t>2024年，本单位全力做好依申请公开工作，明确了依申请公开工作的职责分工、受理范围、办理时限等内容；2024年共受理2件依申请公开，主要涉及执法考试情况及拆迁诉讼判决书相关内容。司法局第一时间落实，对所询问事件进行电话回访、答复，确保得到满意答复，未收取信息处理费。</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微软雅黑" w:hAnsi="微软雅黑" w:eastAsia="微软雅黑" w:cs="微软雅黑"/>
          <w:i w:val="0"/>
          <w:iCs w:val="0"/>
          <w:caps w:val="0"/>
          <w:color w:val="3D3D3D"/>
          <w:spacing w:val="0"/>
          <w:sz w:val="24"/>
          <w:szCs w:val="24"/>
          <w:shd w:val="clear" w:fill="FFFFFF"/>
          <w:lang w:eastAsia="zh-CN"/>
        </w:rPr>
      </w:pPr>
      <w:r>
        <w:rPr>
          <w:rFonts w:ascii="仿宋_GB2312" w:eastAsia="仿宋_GB2312"/>
          <w:b/>
          <w:bCs/>
          <w:color w:val="auto"/>
          <w:sz w:val="32"/>
          <w:szCs w:val="32"/>
        </w:rPr>
        <w:t>3.政府信息管理</w:t>
      </w:r>
      <w:r>
        <w:rPr>
          <w:rFonts w:hint="eastAsia" w:ascii="仿宋_GB2312" w:eastAsia="仿宋_GB2312"/>
          <w:b/>
          <w:bCs/>
          <w:color w:val="auto"/>
          <w:sz w:val="32"/>
          <w:szCs w:val="32"/>
        </w:rPr>
        <w:t>。</w:t>
      </w:r>
      <w:r>
        <w:rPr>
          <w:rFonts w:hint="eastAsia" w:ascii="仿宋_GB2312" w:eastAsia="仿宋_GB2312"/>
          <w:color w:val="auto"/>
          <w:sz w:val="32"/>
          <w:szCs w:val="32"/>
          <w:lang w:val="en-US" w:eastAsia="zh-CN"/>
        </w:rPr>
        <w:t>根据《政府信息公开条例》，进一步完善信息公开工作机制，明确本单位信息公开具体工作人员，负责信息公开工作推进、协调，有序开展信息公开工作。</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仿宋_GB2312" w:eastAsia="仿宋_GB2312"/>
          <w:color w:val="auto"/>
          <w:sz w:val="32"/>
          <w:szCs w:val="32"/>
          <w:lang w:val="en"/>
        </w:rPr>
      </w:pPr>
      <w:r>
        <w:rPr>
          <w:rFonts w:ascii="仿宋_GB2312" w:eastAsia="仿宋_GB2312"/>
          <w:b/>
          <w:bCs/>
          <w:color w:val="auto"/>
          <w:sz w:val="32"/>
          <w:szCs w:val="32"/>
        </w:rPr>
        <w:t>4.</w:t>
      </w:r>
      <w:r>
        <w:rPr>
          <w:rFonts w:hint="eastAsia" w:ascii="仿宋_GB2312" w:eastAsia="仿宋_GB2312"/>
          <w:b/>
          <w:bCs/>
          <w:color w:val="auto"/>
          <w:sz w:val="32"/>
          <w:szCs w:val="32"/>
        </w:rPr>
        <w:t>政府信息公开</w:t>
      </w:r>
      <w:r>
        <w:rPr>
          <w:rFonts w:ascii="仿宋_GB2312" w:eastAsia="仿宋_GB2312"/>
          <w:b/>
          <w:bCs/>
          <w:color w:val="auto"/>
          <w:sz w:val="32"/>
          <w:szCs w:val="32"/>
        </w:rPr>
        <w:t>平台建设</w:t>
      </w:r>
      <w:r>
        <w:rPr>
          <w:rFonts w:hint="eastAsia" w:ascii="仿宋_GB2312" w:eastAsia="仿宋_GB2312"/>
          <w:b/>
          <w:bCs/>
          <w:color w:val="auto"/>
          <w:sz w:val="32"/>
          <w:szCs w:val="32"/>
        </w:rPr>
        <w:t>。</w:t>
      </w:r>
      <w:r>
        <w:rPr>
          <w:rFonts w:hint="eastAsia" w:ascii="仿宋_GB2312" w:eastAsia="仿宋_GB2312"/>
          <w:color w:val="auto"/>
          <w:sz w:val="32"/>
          <w:szCs w:val="32"/>
          <w:lang w:val="en-US" w:eastAsia="zh-CN"/>
        </w:rPr>
        <w:t>2024年，我局按上级要求，对本单位信息公开指南、信息公开制度、机关简介、权责清单、财政预算收支情况、主动公开文件等栏目信息及时进行更新维护。</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仿宋_GB2312" w:eastAsia="仿宋_GB2312"/>
          <w:color w:val="FF0000"/>
          <w:sz w:val="32"/>
          <w:szCs w:val="32"/>
          <w:lang w:val="en-US"/>
        </w:rPr>
      </w:pPr>
      <w:r>
        <w:rPr>
          <w:rFonts w:ascii="仿宋_GB2312" w:eastAsia="仿宋_GB2312"/>
          <w:b/>
          <w:bCs/>
          <w:color w:val="auto"/>
          <w:sz w:val="32"/>
          <w:szCs w:val="32"/>
        </w:rPr>
        <w:t>5.监督保障</w:t>
      </w:r>
      <w:r>
        <w:rPr>
          <w:rFonts w:hint="eastAsia" w:ascii="仿宋_GB2312" w:eastAsia="仿宋_GB2312"/>
          <w:b/>
          <w:bCs/>
          <w:color w:val="auto"/>
          <w:sz w:val="32"/>
          <w:szCs w:val="32"/>
          <w:lang w:eastAsia="zh-CN"/>
        </w:rPr>
        <w:t>。</w:t>
      </w:r>
      <w:r>
        <w:rPr>
          <w:rFonts w:hint="eastAsia" w:ascii="仿宋_GB2312" w:eastAsia="仿宋_GB2312"/>
          <w:color w:val="auto"/>
          <w:sz w:val="32"/>
          <w:szCs w:val="32"/>
          <w:lang w:val="en-US" w:eastAsia="zh-CN"/>
        </w:rPr>
        <w:t>严格执行政府信息公开登记审查制度，自觉接受区政府的考核及监督，对政务公开工作开展不定期自查自纠，做到及时发现问题，及时整改。我局办公室负责本部门政务公开工作，并及时对全局工作人员进行业务培训。</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olor w:val="auto"/>
          <w:sz w:val="32"/>
          <w:szCs w:val="32"/>
        </w:rPr>
      </w:pPr>
      <w:r>
        <w:rPr>
          <w:rFonts w:hint="eastAsia" w:ascii="黑体" w:hAnsi="黑体" w:eastAsia="黑体"/>
          <w:color w:val="auto"/>
          <w:sz w:val="32"/>
          <w:szCs w:val="32"/>
          <w:lang w:val="en-US" w:eastAsia="zh-CN"/>
        </w:rPr>
        <w:t>二、</w:t>
      </w:r>
      <w:r>
        <w:rPr>
          <w:rFonts w:ascii="黑体" w:hAnsi="黑体" w:eastAsia="黑体"/>
          <w:color w:val="auto"/>
          <w:sz w:val="32"/>
          <w:szCs w:val="32"/>
        </w:rPr>
        <w:t>主动公开政府信息情况</w:t>
      </w:r>
    </w:p>
    <w:tbl>
      <w:tblPr>
        <w:tblStyle w:val="6"/>
        <w:tblW w:w="5000" w:type="pct"/>
        <w:tblInd w:w="0" w:type="dxa"/>
        <w:tblLayout w:type="autofit"/>
        <w:tblCellMar>
          <w:top w:w="0" w:type="dxa"/>
          <w:left w:w="108" w:type="dxa"/>
          <w:bottom w:w="0" w:type="dxa"/>
          <w:right w:w="108" w:type="dxa"/>
        </w:tblCellMar>
      </w:tblPr>
      <w:tblGrid>
        <w:gridCol w:w="2236"/>
        <w:gridCol w:w="2236"/>
        <w:gridCol w:w="2237"/>
        <w:gridCol w:w="2237"/>
      </w:tblGrid>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12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12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12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12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000000"/>
                <w:kern w:val="0"/>
                <w:sz w:val="24"/>
                <w:szCs w:val="24"/>
                <w:lang w:val="en-US" w:eastAsia="zh-CN"/>
              </w:rPr>
            </w:pPr>
            <w:r>
              <w:rPr>
                <w:rFonts w:hint="eastAsia" w:ascii="仿宋_GB2312" w:eastAsia="仿宋_GB2312"/>
                <w:color w:val="auto"/>
                <w:sz w:val="24"/>
                <w:szCs w:val="24"/>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宋体" w:eastAsia="仿宋_GB2312" w:cs="宋体"/>
                <w:color w:val="000000"/>
                <w:kern w:val="0"/>
                <w:sz w:val="24"/>
                <w:szCs w:val="24"/>
                <w:lang w:val="en-US" w:eastAsia="zh-CN"/>
              </w:rPr>
            </w:pPr>
            <w:r>
              <w:rPr>
                <w:rFonts w:hint="eastAsia" w:ascii="仿宋_GB2312" w:eastAsia="仿宋_GB2312"/>
                <w:color w:val="auto"/>
                <w:sz w:val="24"/>
                <w:szCs w:val="24"/>
              </w:rPr>
              <w:t>0</w:t>
            </w:r>
          </w:p>
        </w:tc>
        <w:tc>
          <w:tcPr>
            <w:tcW w:w="12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Calibri" w:eastAsia="仿宋_GB2312" w:cs="Calibri"/>
                <w:color w:val="000000"/>
                <w:kern w:val="0"/>
                <w:sz w:val="24"/>
                <w:szCs w:val="24"/>
                <w:lang w:val="en-US" w:eastAsia="zh-CN"/>
              </w:rPr>
            </w:pPr>
            <w:r>
              <w:rPr>
                <w:rFonts w:hint="eastAsia" w:ascii="仿宋_GB2312" w:eastAsia="仿宋_GB2312"/>
                <w:color w:val="auto"/>
                <w:sz w:val="24"/>
                <w:szCs w:val="24"/>
              </w:rPr>
              <w:t>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12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宋体" w:eastAsia="仿宋_GB2312" w:cs="宋体"/>
                <w:color w:val="000000"/>
                <w:kern w:val="0"/>
                <w:sz w:val="24"/>
                <w:szCs w:val="24"/>
                <w:lang w:val="en-US" w:eastAsia="zh-CN"/>
              </w:rPr>
            </w:pPr>
            <w:r>
              <w:rPr>
                <w:rFonts w:hint="eastAsia" w:ascii="仿宋_GB2312" w:eastAsia="仿宋_GB2312"/>
                <w:color w:val="auto"/>
                <w:sz w:val="24"/>
                <w:szCs w:val="24"/>
              </w:rPr>
              <w:t>0</w:t>
            </w:r>
          </w:p>
        </w:tc>
        <w:tc>
          <w:tcPr>
            <w:tcW w:w="12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宋体" w:eastAsia="仿宋_GB2312" w:cs="宋体"/>
                <w:color w:val="000000"/>
                <w:kern w:val="0"/>
                <w:sz w:val="24"/>
                <w:szCs w:val="24"/>
                <w:lang w:val="en-US" w:eastAsia="zh-CN"/>
              </w:rPr>
            </w:pPr>
            <w:r>
              <w:rPr>
                <w:rFonts w:hint="eastAsia" w:ascii="仿宋_GB2312" w:eastAsia="仿宋_GB2312"/>
                <w:color w:val="auto"/>
                <w:sz w:val="24"/>
                <w:szCs w:val="24"/>
              </w:rPr>
              <w:t>0</w:t>
            </w:r>
          </w:p>
        </w:tc>
        <w:tc>
          <w:tcPr>
            <w:tcW w:w="12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Calibri" w:eastAsia="仿宋_GB2312" w:cs="Calibri"/>
                <w:color w:val="000000"/>
                <w:kern w:val="0"/>
                <w:sz w:val="24"/>
                <w:szCs w:val="24"/>
                <w:lang w:val="en-US" w:eastAsia="zh-CN"/>
              </w:rPr>
            </w:pPr>
            <w:r>
              <w:rPr>
                <w:rFonts w:hint="eastAsia" w:ascii="仿宋_GB2312" w:eastAsia="仿宋_GB2312"/>
                <w:color w:val="auto"/>
                <w:sz w:val="24"/>
                <w:szCs w:val="24"/>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Calibri" w:eastAsia="仿宋_GB2312" w:cs="Calibri"/>
                <w:color w:val="000000"/>
                <w:kern w:val="0"/>
                <w:szCs w:val="21"/>
                <w:lang w:val="en-US" w:eastAsia="zh-CN"/>
              </w:rPr>
            </w:pPr>
            <w:r>
              <w:rPr>
                <w:rFonts w:hint="eastAsia" w:ascii="仿宋_GB2312" w:eastAsia="仿宋_GB2312"/>
                <w:color w:val="auto"/>
                <w:sz w:val="24"/>
                <w:szCs w:val="24"/>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宋体" w:eastAsia="仿宋_GB2312" w:cs="宋体"/>
                <w:color w:val="000000"/>
                <w:kern w:val="0"/>
                <w:sz w:val="24"/>
                <w:szCs w:val="24"/>
                <w:lang w:val="en-US" w:eastAsia="zh-CN"/>
              </w:rPr>
            </w:pPr>
            <w:r>
              <w:rPr>
                <w:rFonts w:hint="eastAsia" w:ascii="仿宋_GB2312" w:eastAsia="仿宋_GB2312"/>
                <w:color w:val="auto"/>
                <w:sz w:val="24"/>
                <w:szCs w:val="24"/>
                <w:lang w:val="en-US" w:eastAsia="zh-CN"/>
              </w:rPr>
              <w:t>2</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000000"/>
                <w:kern w:val="0"/>
                <w:sz w:val="24"/>
                <w:szCs w:val="24"/>
                <w:lang w:val="en-US" w:eastAsia="zh-CN"/>
              </w:rPr>
            </w:pPr>
            <w:r>
              <w:rPr>
                <w:rFonts w:hint="eastAsia" w:ascii="仿宋_GB2312" w:eastAsia="仿宋_GB2312"/>
                <w:color w:val="auto"/>
                <w:sz w:val="24"/>
                <w:szCs w:val="24"/>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 xml:space="preserve">                     </w:t>
            </w:r>
            <w:r>
              <w:rPr>
                <w:rFonts w:hint="eastAsia" w:ascii="仿宋_GB2312" w:hAnsi="Calibri" w:eastAsia="仿宋_GB2312" w:cs="Calibri"/>
                <w:color w:val="000000"/>
                <w:kern w:val="0"/>
                <w:sz w:val="24"/>
                <w:szCs w:val="24"/>
                <w:lang w:val="en-US" w:eastAsia="zh-CN"/>
              </w:rPr>
              <w:t xml:space="preserve">      </w:t>
            </w:r>
            <w:r>
              <w:rPr>
                <w:rFonts w:hint="eastAsia" w:ascii="仿宋_GB2312" w:eastAsia="仿宋_GB2312"/>
                <w:color w:val="auto"/>
                <w:sz w:val="24"/>
                <w:szCs w:val="24"/>
              </w:rPr>
              <w:t>0</w:t>
            </w:r>
          </w:p>
        </w:tc>
      </w:tr>
    </w:tbl>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lang w:val="en-US" w:eastAsia="zh-CN"/>
        </w:rPr>
        <w:t>三、</w:t>
      </w:r>
      <w:r>
        <w:rPr>
          <w:rFonts w:ascii="黑体" w:hAnsi="黑体" w:eastAsia="黑体"/>
          <w:color w:val="auto"/>
          <w:sz w:val="32"/>
          <w:szCs w:val="32"/>
        </w:rPr>
        <w:t>收到和处理政府信息公开申请情况</w:t>
      </w:r>
    </w:p>
    <w:p>
      <w:pPr>
        <w:pStyle w:val="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jc w:val="both"/>
        <w:textAlignment w:val="auto"/>
        <w:rPr>
          <w:rFonts w:ascii="黑体" w:hAnsi="黑体" w:eastAsia="黑体"/>
          <w:color w:val="auto"/>
          <w:sz w:val="32"/>
          <w:szCs w:val="32"/>
        </w:rPr>
      </w:pPr>
    </w:p>
    <w:tbl>
      <w:tblPr>
        <w:tblStyle w:val="6"/>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szCs w:val="21"/>
              </w:rPr>
            </w:pP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6" w:leftChars="-51" w:right="-107" w:rightChars="-51" w:hanging="1"/>
              <w:jc w:val="center"/>
              <w:textAlignment w:val="auto"/>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7" w:leftChars="-51" w:right="-107" w:rightChars="-51"/>
              <w:jc w:val="center"/>
              <w:textAlignment w:val="auto"/>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7" w:leftChars="-51" w:right="-107" w:rightChars="-51"/>
              <w:jc w:val="center"/>
              <w:textAlignment w:val="auto"/>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6" w:leftChars="-51" w:right="-107" w:rightChars="-51" w:hanging="1"/>
              <w:jc w:val="center"/>
              <w:textAlignment w:val="auto"/>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63" w:leftChars="-30" w:right="-134" w:rightChars="-64"/>
              <w:jc w:val="center"/>
              <w:textAlignment w:val="auto"/>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0"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2</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sz w:val="24"/>
                <w:szCs w:val="24"/>
                <w:lang w:val="en-US" w:eastAsia="zh-CN"/>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textAlignment w:val="auto"/>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sz w:val="24"/>
                <w:szCs w:val="24"/>
                <w:lang w:val="en-US" w:eastAsia="zh-CN"/>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4677"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7" w:leftChars="-51"/>
              <w:textAlignment w:val="auto"/>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1</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olor w:val="auto"/>
                <w:sz w:val="24"/>
                <w:szCs w:val="24"/>
                <w:highlight w:val="none"/>
              </w:rPr>
            </w:pPr>
            <w:r>
              <w:rPr>
                <w:rFonts w:hint="eastAsia" w:ascii="仿宋_GB2312" w:eastAsia="仿宋_GB2312"/>
                <w:color w:val="auto"/>
                <w:sz w:val="24"/>
                <w:szCs w:val="24"/>
                <w:highlight w:val="none"/>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olor w:val="auto"/>
                <w:sz w:val="24"/>
                <w:szCs w:val="24"/>
                <w:highlight w:val="none"/>
              </w:rPr>
            </w:pPr>
            <w:r>
              <w:rPr>
                <w:rFonts w:hint="eastAsia" w:ascii="仿宋_GB2312" w:eastAsia="仿宋_GB2312"/>
                <w:color w:val="auto"/>
                <w:sz w:val="24"/>
                <w:szCs w:val="24"/>
                <w:highlight w:val="none"/>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olor w:val="auto"/>
                <w:sz w:val="24"/>
                <w:szCs w:val="24"/>
                <w:highlight w:val="none"/>
              </w:rPr>
            </w:pPr>
            <w:r>
              <w:rPr>
                <w:rFonts w:hint="eastAsia" w:ascii="仿宋_GB2312" w:eastAsia="仿宋_GB2312"/>
                <w:color w:val="auto"/>
                <w:sz w:val="24"/>
                <w:szCs w:val="24"/>
                <w:highlight w:val="none"/>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olor w:val="auto"/>
                <w:sz w:val="24"/>
                <w:szCs w:val="24"/>
                <w:highlight w:val="none"/>
                <w:lang w:val="en-US" w:eastAsia="zh-CN"/>
              </w:rPr>
            </w:pPr>
            <w:r>
              <w:rPr>
                <w:rFonts w:hint="eastAsia" w:ascii="仿宋_GB2312" w:hAnsi="Times New Roman" w:eastAsia="仿宋_GB2312"/>
                <w:color w:val="auto"/>
                <w:sz w:val="24"/>
                <w:szCs w:val="24"/>
                <w:highlight w:val="none"/>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1"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1</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highlight w:val="none"/>
              </w:rPr>
            </w:pPr>
            <w:r>
              <w:rPr>
                <w:rFonts w:hint="eastAsia" w:ascii="仿宋_GB2312" w:eastAsia="仿宋_GB2312"/>
                <w:color w:val="auto"/>
                <w:sz w:val="24"/>
                <w:szCs w:val="24"/>
                <w:highlight w:val="none"/>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color w:val="auto"/>
                <w:sz w:val="24"/>
                <w:szCs w:val="24"/>
                <w:highlight w:val="none"/>
                <w:lang w:val="en-US" w:eastAsia="zh-CN"/>
              </w:rPr>
            </w:pPr>
            <w:r>
              <w:rPr>
                <w:rFonts w:hint="eastAsia" w:ascii="仿宋_GB2312" w:hAnsi="Times New Roman" w:eastAsia="仿宋_GB2312"/>
                <w:color w:val="auto"/>
                <w:sz w:val="24"/>
                <w:szCs w:val="24"/>
                <w:highlight w:val="none"/>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7" w:leftChars="-51"/>
              <w:textAlignment w:val="auto"/>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107" w:leftChars="-51"/>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107" w:leftChars="-51"/>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7" w:leftChars="-51"/>
              <w:textAlignment w:val="auto"/>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5.要求行政机关确认或重新</w:t>
            </w:r>
          </w:p>
          <w:p>
            <w:pPr>
              <w:keepNext w:val="0"/>
              <w:keepLines w:val="0"/>
              <w:pageBreakBefore w:val="0"/>
              <w:widowControl/>
              <w:kinsoku/>
              <w:wordWrap/>
              <w:overflowPunct/>
              <w:topLinePunct w:val="0"/>
              <w:autoSpaceDE/>
              <w:autoSpaceDN/>
              <w:bidi w:val="0"/>
              <w:adjustRightInd/>
              <w:snapToGrid/>
              <w:spacing w:line="560" w:lineRule="exact"/>
              <w:ind w:firstLine="210" w:firstLineChars="100"/>
              <w:textAlignment w:val="auto"/>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黑体" w:hAnsi="黑体" w:eastAsia="黑体"/>
                <w:kern w:val="0"/>
                <w:szCs w:val="21"/>
              </w:rPr>
            </w:pP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黑体" w:hAnsi="黑体" w:eastAsia="黑体"/>
                <w:kern w:val="0"/>
                <w:szCs w:val="21"/>
              </w:rPr>
            </w:pP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4677"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color w:val="000000" w:themeColor="text1"/>
                <w:sz w:val="24"/>
                <w:szCs w:val="24"/>
                <w:highlight w:val="none"/>
                <w:lang w:val="en-US" w:eastAsia="zh-CN"/>
                <w14:textFill>
                  <w14:solidFill>
                    <w14:schemeClr w14:val="tx1"/>
                  </w14:solidFill>
                </w14:textFill>
              </w:rPr>
            </w:pPr>
            <w:r>
              <w:rPr>
                <w:rFonts w:hint="eastAsia" w:ascii="仿宋_GB2312" w:hAnsi="Times New Roman" w:eastAsia="仿宋_GB2312"/>
                <w:color w:val="000000" w:themeColor="text1"/>
                <w:sz w:val="24"/>
                <w:szCs w:val="24"/>
                <w:highlight w:val="none"/>
                <w:lang w:val="en-US" w:eastAsia="zh-CN"/>
                <w14:textFill>
                  <w14:solidFill>
                    <w14:schemeClr w14:val="tx1"/>
                  </w14:solidFill>
                </w14:textFill>
              </w:rPr>
              <w:t>2</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color w:val="000000" w:themeColor="text1"/>
                <w:sz w:val="24"/>
                <w:szCs w:val="24"/>
                <w:highlight w:val="none"/>
                <w:lang w:val="en-US" w:eastAsia="zh-CN"/>
                <w14:textFill>
                  <w14:solidFill>
                    <w14:schemeClr w14:val="tx1"/>
                  </w14:solidFill>
                </w14:textFill>
              </w:rPr>
            </w:pPr>
            <w:r>
              <w:rPr>
                <w:rFonts w:hint="eastAsia" w:ascii="仿宋_GB2312" w:hAnsi="Times New Roman" w:eastAsia="仿宋_GB2312"/>
                <w:color w:val="000000" w:themeColor="text1"/>
                <w:sz w:val="24"/>
                <w:szCs w:val="24"/>
                <w:highlight w:val="none"/>
                <w:lang w:val="en-US" w:eastAsia="zh-CN"/>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 w:val="24"/>
                <w:szCs w:val="24"/>
              </w:rPr>
            </w:pPr>
            <w:r>
              <w:rPr>
                <w:rFonts w:hint="eastAsia" w:ascii="仿宋_GB2312" w:eastAsia="仿宋_GB2312"/>
                <w:color w:val="auto"/>
                <w:sz w:val="24"/>
                <w:szCs w:val="24"/>
              </w:rPr>
              <w:t>0</w:t>
            </w:r>
          </w:p>
        </w:tc>
      </w:tr>
    </w:tbl>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olor w:val="auto"/>
          <w:sz w:val="32"/>
          <w:szCs w:val="32"/>
        </w:rPr>
      </w:pPr>
      <w:r>
        <w:rPr>
          <w:rFonts w:ascii="黑体" w:hAnsi="黑体" w:eastAsia="黑体"/>
          <w:color w:val="auto"/>
          <w:sz w:val="32"/>
          <w:szCs w:val="32"/>
        </w:rPr>
        <w:t>四、政府信息公开行政复议、行政诉讼情况</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firstLineChars="200"/>
        <w:jc w:val="both"/>
        <w:textAlignment w:val="auto"/>
        <w:rPr>
          <w:rFonts w:ascii="Times New Roman" w:hAnsi="Times New Roman"/>
          <w:color w:val="auto"/>
        </w:rPr>
      </w:pP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49" w:leftChars="-71" w:right="-170" w:rightChars="-81"/>
              <w:jc w:val="center"/>
              <w:textAlignment w:val="auto"/>
              <w:rPr>
                <w:rFonts w:ascii="黑体" w:hAnsi="黑体" w:eastAsia="黑体"/>
                <w:kern w:val="0"/>
                <w:sz w:val="20"/>
                <w:szCs w:val="20"/>
              </w:rPr>
            </w:pPr>
            <w:r>
              <w:rPr>
                <w:rFonts w:ascii="黑体" w:hAnsi="黑体" w:eastAsia="黑体"/>
                <w:kern w:val="0"/>
                <w:sz w:val="20"/>
                <w:szCs w:val="20"/>
              </w:rPr>
              <w:t>结果</w:t>
            </w:r>
          </w:p>
          <w:p>
            <w:pPr>
              <w:keepNext w:val="0"/>
              <w:keepLines w:val="0"/>
              <w:pageBreakBefore w:val="0"/>
              <w:widowControl/>
              <w:kinsoku/>
              <w:wordWrap/>
              <w:overflowPunct/>
              <w:topLinePunct w:val="0"/>
              <w:autoSpaceDE/>
              <w:autoSpaceDN/>
              <w:bidi w:val="0"/>
              <w:adjustRightInd/>
              <w:snapToGrid/>
              <w:spacing w:line="560" w:lineRule="exact"/>
              <w:ind w:left="-149" w:leftChars="-71" w:right="-170" w:rightChars="-81"/>
              <w:jc w:val="center"/>
              <w:textAlignment w:val="auto"/>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3" w:leftChars="-21" w:right="-132" w:rightChars="-63" w:hanging="1"/>
              <w:jc w:val="center"/>
              <w:textAlignment w:val="auto"/>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82" w:leftChars="-39" w:right="-97" w:rightChars="-46"/>
              <w:jc w:val="center"/>
              <w:textAlignment w:val="auto"/>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18" w:leftChars="-56" w:right="-118" w:rightChars="-56"/>
              <w:jc w:val="center"/>
              <w:textAlignment w:val="auto"/>
              <w:rPr>
                <w:rFonts w:ascii="黑体" w:hAnsi="黑体" w:eastAsia="黑体"/>
                <w:kern w:val="0"/>
                <w:sz w:val="20"/>
                <w:szCs w:val="20"/>
              </w:rPr>
            </w:pPr>
            <w:r>
              <w:rPr>
                <w:rFonts w:ascii="黑体" w:hAnsi="黑体" w:eastAsia="黑体"/>
                <w:kern w:val="0"/>
                <w:sz w:val="20"/>
                <w:szCs w:val="20"/>
              </w:rPr>
              <w:t>尚未</w:t>
            </w:r>
          </w:p>
          <w:p>
            <w:pPr>
              <w:keepNext w:val="0"/>
              <w:keepLines w:val="0"/>
              <w:pageBreakBefore w:val="0"/>
              <w:widowControl/>
              <w:kinsoku/>
              <w:wordWrap/>
              <w:overflowPunct/>
              <w:topLinePunct w:val="0"/>
              <w:autoSpaceDE/>
              <w:autoSpaceDN/>
              <w:bidi w:val="0"/>
              <w:adjustRightInd/>
              <w:snapToGrid/>
              <w:spacing w:line="560" w:lineRule="exact"/>
              <w:ind w:left="-118" w:leftChars="-56" w:right="-118" w:rightChars="-56"/>
              <w:jc w:val="center"/>
              <w:textAlignment w:val="auto"/>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kern w:val="0"/>
                <w:sz w:val="20"/>
                <w:szCs w:val="20"/>
              </w:rPr>
            </w:pPr>
            <w:r>
              <w:rPr>
                <w:rFonts w:ascii="黑体" w:hAnsi="黑体" w:eastAsia="黑体"/>
                <w:kern w:val="0"/>
                <w:sz w:val="20"/>
                <w:szCs w:val="20"/>
              </w:rPr>
              <w:t>总</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5" w:leftChars="-50" w:right="-126" w:rightChars="-60"/>
              <w:jc w:val="center"/>
              <w:textAlignment w:val="auto"/>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86" w:leftChars="-41" w:right="-88" w:rightChars="-42"/>
              <w:jc w:val="center"/>
              <w:textAlignment w:val="auto"/>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26" w:leftChars="-60" w:right="-136" w:rightChars="-65"/>
              <w:jc w:val="center"/>
              <w:textAlignment w:val="auto"/>
              <w:rPr>
                <w:rFonts w:ascii="黑体" w:hAnsi="黑体" w:eastAsia="黑体"/>
                <w:kern w:val="0"/>
                <w:sz w:val="20"/>
                <w:szCs w:val="20"/>
              </w:rPr>
            </w:pPr>
            <w:r>
              <w:rPr>
                <w:rFonts w:ascii="黑体" w:hAnsi="黑体" w:eastAsia="黑体"/>
                <w:kern w:val="0"/>
                <w:sz w:val="20"/>
                <w:szCs w:val="20"/>
              </w:rPr>
              <w:t>其他</w:t>
            </w:r>
          </w:p>
          <w:p>
            <w:pPr>
              <w:keepNext w:val="0"/>
              <w:keepLines w:val="0"/>
              <w:pageBreakBefore w:val="0"/>
              <w:widowControl/>
              <w:kinsoku/>
              <w:wordWrap/>
              <w:overflowPunct/>
              <w:topLinePunct w:val="0"/>
              <w:autoSpaceDE/>
              <w:autoSpaceDN/>
              <w:bidi w:val="0"/>
              <w:adjustRightInd/>
              <w:snapToGrid/>
              <w:spacing w:line="560" w:lineRule="exact"/>
              <w:ind w:left="-126" w:leftChars="-60" w:right="-136" w:rightChars="-65"/>
              <w:jc w:val="center"/>
              <w:textAlignment w:val="auto"/>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64" w:leftChars="-78" w:right="-153" w:rightChars="-73"/>
              <w:jc w:val="center"/>
              <w:textAlignment w:val="auto"/>
              <w:rPr>
                <w:rFonts w:ascii="黑体" w:hAnsi="黑体" w:eastAsia="黑体"/>
                <w:kern w:val="0"/>
                <w:sz w:val="20"/>
                <w:szCs w:val="20"/>
              </w:rPr>
            </w:pPr>
            <w:r>
              <w:rPr>
                <w:rFonts w:ascii="黑体" w:hAnsi="黑体" w:eastAsia="黑体"/>
                <w:kern w:val="0"/>
                <w:sz w:val="20"/>
                <w:szCs w:val="20"/>
              </w:rPr>
              <w:t>尚未</w:t>
            </w:r>
          </w:p>
          <w:p>
            <w:pPr>
              <w:keepNext w:val="0"/>
              <w:keepLines w:val="0"/>
              <w:pageBreakBefore w:val="0"/>
              <w:widowControl/>
              <w:kinsoku/>
              <w:wordWrap/>
              <w:overflowPunct/>
              <w:topLinePunct w:val="0"/>
              <w:autoSpaceDE/>
              <w:autoSpaceDN/>
              <w:bidi w:val="0"/>
              <w:adjustRightInd/>
              <w:snapToGrid/>
              <w:spacing w:line="560" w:lineRule="exact"/>
              <w:ind w:left="-164" w:leftChars="-78" w:right="-153" w:rightChars="-73"/>
              <w:jc w:val="center"/>
              <w:textAlignment w:val="auto"/>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99" w:leftChars="-47" w:right="-78" w:rightChars="-37"/>
              <w:jc w:val="center"/>
              <w:textAlignment w:val="auto"/>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36" w:leftChars="-65" w:right="-124" w:rightChars="-59"/>
              <w:jc w:val="center"/>
              <w:textAlignment w:val="auto"/>
              <w:rPr>
                <w:rFonts w:ascii="黑体" w:hAnsi="黑体" w:eastAsia="黑体"/>
                <w:kern w:val="0"/>
                <w:sz w:val="20"/>
                <w:szCs w:val="20"/>
              </w:rPr>
            </w:pPr>
            <w:r>
              <w:rPr>
                <w:rFonts w:ascii="黑体" w:hAnsi="黑体" w:eastAsia="黑体"/>
                <w:kern w:val="0"/>
                <w:sz w:val="20"/>
                <w:szCs w:val="20"/>
              </w:rPr>
              <w:t>结果</w:t>
            </w:r>
          </w:p>
          <w:p>
            <w:pPr>
              <w:keepNext w:val="0"/>
              <w:keepLines w:val="0"/>
              <w:pageBreakBefore w:val="0"/>
              <w:widowControl/>
              <w:kinsoku/>
              <w:wordWrap/>
              <w:overflowPunct/>
              <w:topLinePunct w:val="0"/>
              <w:autoSpaceDE/>
              <w:autoSpaceDN/>
              <w:bidi w:val="0"/>
              <w:adjustRightInd/>
              <w:snapToGrid/>
              <w:spacing w:line="560" w:lineRule="exact"/>
              <w:ind w:left="-136" w:leftChars="-65" w:right="-124" w:rightChars="-59"/>
              <w:jc w:val="center"/>
              <w:textAlignment w:val="auto"/>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73" w:leftChars="-83" w:right="-134" w:rightChars="-64" w:hanging="1"/>
              <w:jc w:val="center"/>
              <w:textAlignment w:val="auto"/>
              <w:rPr>
                <w:rFonts w:ascii="黑体" w:hAnsi="黑体" w:eastAsia="黑体"/>
                <w:kern w:val="0"/>
                <w:sz w:val="20"/>
                <w:szCs w:val="20"/>
              </w:rPr>
            </w:pPr>
            <w:r>
              <w:rPr>
                <w:rFonts w:ascii="黑体" w:hAnsi="黑体" w:eastAsia="黑体"/>
                <w:kern w:val="0"/>
                <w:sz w:val="20"/>
                <w:szCs w:val="20"/>
              </w:rPr>
              <w:t>其他</w:t>
            </w:r>
          </w:p>
          <w:p>
            <w:pPr>
              <w:keepNext w:val="0"/>
              <w:keepLines w:val="0"/>
              <w:pageBreakBefore w:val="0"/>
              <w:widowControl/>
              <w:kinsoku/>
              <w:wordWrap/>
              <w:overflowPunct/>
              <w:topLinePunct w:val="0"/>
              <w:autoSpaceDE/>
              <w:autoSpaceDN/>
              <w:bidi w:val="0"/>
              <w:adjustRightInd/>
              <w:snapToGrid/>
              <w:spacing w:line="560" w:lineRule="exact"/>
              <w:ind w:left="-173" w:leftChars="-83" w:right="-134" w:rightChars="-64" w:hanging="1"/>
              <w:jc w:val="center"/>
              <w:textAlignment w:val="auto"/>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67" w:leftChars="-33" w:right="-105" w:rightChars="-50" w:hanging="2" w:hangingChars="1"/>
              <w:jc w:val="center"/>
              <w:textAlignment w:val="auto"/>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pStyle w:val="5"/>
        <w:keepNext w:val="0"/>
        <w:keepLines w:val="0"/>
        <w:pageBreakBefore w:val="0"/>
        <w:numPr>
          <w:ilvl w:val="0"/>
          <w:numId w:val="2"/>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olor w:val="auto"/>
          <w:sz w:val="32"/>
          <w:szCs w:val="32"/>
        </w:rPr>
      </w:pPr>
      <w:r>
        <w:rPr>
          <w:rFonts w:ascii="黑体" w:hAnsi="黑体" w:eastAsia="黑体"/>
          <w:color w:val="auto"/>
          <w:sz w:val="32"/>
          <w:szCs w:val="32"/>
        </w:rPr>
        <w:t>存在的主要问题及改进情况</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rPr>
        <w:t>2024年，本单位政府信息公开工作取得了一定的成效，但公开工作规范性有待进一步加强；主动向社会公开信息的领域有待于进一步拓展。  </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年将从以下几方面抓好落实。</w:t>
      </w:r>
      <w:r>
        <w:rPr>
          <w:rFonts w:hint="eastAsia" w:ascii="仿宋_GB2312" w:eastAsia="仿宋_GB2312"/>
          <w:color w:val="auto"/>
          <w:sz w:val="32"/>
          <w:szCs w:val="32"/>
          <w:lang w:val="en-US" w:eastAsia="zh-CN"/>
        </w:rPr>
        <w:t>一是</w:t>
      </w:r>
      <w:r>
        <w:rPr>
          <w:rFonts w:hint="eastAsia" w:ascii="仿宋_GB2312" w:eastAsia="仿宋_GB2312"/>
          <w:color w:val="auto"/>
          <w:sz w:val="32"/>
          <w:szCs w:val="32"/>
        </w:rPr>
        <w:t>认真学习贯彻党的二十大精神，以习近平新时代中国特色社会主义思想为指导，严格贯彻执行《中华人民共和国政府信息公开条例》及政务公开相关法规标准</w:t>
      </w:r>
      <w:r>
        <w:rPr>
          <w:rFonts w:hint="eastAsia" w:ascii="仿宋_GB2312" w:eastAsia="仿宋_GB2312"/>
          <w:color w:val="auto"/>
          <w:sz w:val="32"/>
          <w:szCs w:val="32"/>
          <w:lang w:eastAsia="zh-CN"/>
        </w:rPr>
        <w:t>，提升公开工作的规范性。</w:t>
      </w:r>
      <w:r>
        <w:rPr>
          <w:rFonts w:hint="eastAsia" w:ascii="仿宋_GB2312" w:eastAsia="仿宋_GB2312"/>
          <w:color w:val="auto"/>
          <w:sz w:val="32"/>
          <w:szCs w:val="32"/>
          <w:lang w:val="en-US" w:eastAsia="zh-CN"/>
        </w:rPr>
        <w:t>二</w:t>
      </w:r>
      <w:r>
        <w:rPr>
          <w:rFonts w:hint="eastAsia" w:ascii="仿宋_GB2312" w:eastAsia="仿宋_GB2312"/>
          <w:color w:val="auto"/>
          <w:sz w:val="32"/>
          <w:szCs w:val="32"/>
        </w:rPr>
        <w:t>是结合工作实际及时调整公开范围及内容，</w:t>
      </w:r>
      <w:r>
        <w:rPr>
          <w:rFonts w:hint="eastAsia" w:ascii="仿宋_GB2312" w:eastAsia="仿宋_GB2312"/>
          <w:color w:val="auto"/>
          <w:sz w:val="32"/>
          <w:szCs w:val="32"/>
          <w:lang w:eastAsia="zh-CN"/>
        </w:rPr>
        <w:t>提升政务公开的广度和深度。</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olor w:val="auto"/>
          <w:sz w:val="32"/>
          <w:szCs w:val="32"/>
        </w:rPr>
      </w:pPr>
      <w:r>
        <w:rPr>
          <w:rFonts w:hint="eastAsia" w:ascii="黑体" w:hAnsi="黑体" w:eastAsia="黑体"/>
          <w:color w:val="auto"/>
          <w:sz w:val="32"/>
          <w:szCs w:val="32"/>
          <w:lang w:val="en-US" w:eastAsia="zh-CN"/>
        </w:rPr>
        <w:t>六、</w:t>
      </w:r>
      <w:r>
        <w:rPr>
          <w:rFonts w:ascii="黑体" w:hAnsi="黑体" w:eastAsia="黑体"/>
          <w:color w:val="auto"/>
          <w:sz w:val="32"/>
          <w:szCs w:val="32"/>
        </w:rPr>
        <w:t>其他需要报告的事项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kern w:val="0"/>
          <w:sz w:val="32"/>
          <w:szCs w:val="32"/>
          <w:lang w:val="en-US" w:eastAsia="zh-CN" w:bidi="ar-SA"/>
        </w:rPr>
      </w:pPr>
      <w:r>
        <w:rPr>
          <w:rFonts w:hint="eastAsia" w:ascii="仿宋_GB2312" w:hAnsi="Calibri" w:eastAsia="仿宋_GB2312" w:cs="Times New Roman"/>
          <w:color w:val="auto"/>
          <w:kern w:val="0"/>
          <w:sz w:val="32"/>
          <w:szCs w:val="32"/>
          <w:lang w:val="en-US" w:eastAsia="zh-CN" w:bidi="ar-SA"/>
        </w:rPr>
        <w:t>1.按照</w:t>
      </w:r>
      <w:r>
        <w:rPr>
          <w:rFonts w:ascii="仿宋_GB2312" w:eastAsia="仿宋_GB2312"/>
          <w:color w:val="auto"/>
          <w:sz w:val="32"/>
          <w:szCs w:val="32"/>
        </w:rPr>
        <w:t>《政府信息公开信息处理费管理办法》</w:t>
      </w:r>
      <w:r>
        <w:rPr>
          <w:rFonts w:hint="eastAsia" w:ascii="仿宋_GB2312" w:hAnsi="Calibri" w:eastAsia="仿宋_GB2312" w:cs="Times New Roman"/>
          <w:color w:val="auto"/>
          <w:kern w:val="0"/>
          <w:sz w:val="32"/>
          <w:szCs w:val="32"/>
          <w:lang w:val="en-US" w:eastAsia="zh-CN" w:bidi="ar-SA"/>
        </w:rPr>
        <w:t>规定，本年度没有产生信息处理费。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eastAsia="仿宋_GB2312"/>
          <w:color w:val="auto"/>
          <w:sz w:val="32"/>
          <w:szCs w:val="32"/>
          <w:lang w:val="en-US" w:eastAsia="zh-CN"/>
        </w:rPr>
      </w:pPr>
      <w:r>
        <w:rPr>
          <w:rFonts w:hint="eastAsia" w:ascii="仿宋_GB2312" w:hAnsi="Calibri" w:eastAsia="仿宋_GB2312" w:cs="Times New Roman"/>
          <w:color w:val="auto"/>
          <w:kern w:val="0"/>
          <w:sz w:val="32"/>
          <w:szCs w:val="32"/>
          <w:lang w:val="en-US" w:eastAsia="zh-CN" w:bidi="ar-SA"/>
        </w:rPr>
        <w:t>2.</w:t>
      </w:r>
      <w:r>
        <w:rPr>
          <w:rFonts w:hint="eastAsia" w:ascii="仿宋_GB2312" w:eastAsia="仿宋_GB2312" w:cs="Times New Roman"/>
          <w:color w:val="auto"/>
          <w:kern w:val="0"/>
          <w:sz w:val="32"/>
          <w:szCs w:val="32"/>
          <w:lang w:val="en-US" w:eastAsia="zh-CN" w:bidi="ar-SA"/>
        </w:rPr>
        <w:t>司</w:t>
      </w:r>
      <w:r>
        <w:rPr>
          <w:rFonts w:hint="eastAsia" w:ascii="仿宋_GB2312" w:eastAsia="仿宋_GB2312"/>
          <w:color w:val="auto"/>
          <w:sz w:val="32"/>
          <w:szCs w:val="32"/>
          <w:lang w:val="en-US" w:eastAsia="zh-CN"/>
        </w:rPr>
        <w:t>法局认真落实年度政务公开工作要点，积极安排部署政务公开工作相关要求，抓好落实。</w:t>
      </w:r>
      <w:r>
        <w:rPr>
          <w:rFonts w:hint="eastAsia" w:ascii="仿宋_GB2312" w:eastAsia="仿宋_GB2312"/>
          <w:color w:val="auto"/>
          <w:sz w:val="32"/>
          <w:szCs w:val="32"/>
        </w:rPr>
        <w:t>一是我局加大政务主动公开的力度，及时公开各类信息，严格落实《中华人民共和国政府信息公开条例》等有关规定，认真完成各项工作任务；二是高效发布政府信息公开法定内容。全面落实省、市、县政务公开工作部署，及时公布重要信息，不断提升信息发布的深度和广度。三是进一步健全和完善信息公开各项制度。规范和完善政务公开的内容、形式，对涉及公众关心的重大问题、重大决策应该公开的及时公开。</w:t>
      </w:r>
    </w:p>
    <w:p>
      <w:pPr>
        <w:keepNext w:val="0"/>
        <w:keepLines w:val="0"/>
        <w:widowControl/>
        <w:suppressLineNumbers w:val="0"/>
        <w:ind w:firstLine="640" w:firstLineChars="200"/>
        <w:jc w:val="left"/>
        <w:rPr>
          <w:rFonts w:hint="eastAsia" w:ascii="仿宋_GB2312" w:hAnsi="Calibri" w:eastAsia="仿宋_GB2312" w:cs="Times New Roman"/>
          <w:color w:val="auto"/>
          <w:kern w:val="0"/>
          <w:sz w:val="32"/>
          <w:szCs w:val="32"/>
          <w:lang w:val="en-US" w:eastAsia="zh-CN" w:bidi="ar-SA"/>
        </w:rPr>
      </w:pPr>
      <w:r>
        <w:rPr>
          <w:rFonts w:hint="eastAsia" w:ascii="仿宋_GB2312" w:hAnsi="Calibri" w:eastAsia="仿宋_GB2312" w:cs="Times New Roman"/>
          <w:color w:val="auto"/>
          <w:kern w:val="0"/>
          <w:sz w:val="32"/>
          <w:szCs w:val="32"/>
          <w:lang w:val="en-US" w:eastAsia="zh-CN" w:bidi="ar-SA"/>
        </w:rPr>
        <w:t>3.</w:t>
      </w:r>
      <w:r>
        <w:rPr>
          <w:rFonts w:hint="eastAsia" w:ascii="仿宋_GB2312" w:eastAsia="仿宋_GB2312" w:cs="Times New Roman"/>
          <w:color w:val="auto"/>
          <w:kern w:val="0"/>
          <w:sz w:val="32"/>
          <w:szCs w:val="32"/>
          <w:lang w:val="en-US" w:eastAsia="zh-CN" w:bidi="ar-SA"/>
        </w:rPr>
        <w:t>2024年，</w:t>
      </w:r>
      <w:r>
        <w:rPr>
          <w:rFonts w:hint="eastAsia" w:ascii="仿宋_GB2312" w:hAnsi="Calibri" w:eastAsia="仿宋_GB2312" w:cs="Times New Roman"/>
          <w:color w:val="auto"/>
          <w:kern w:val="0"/>
          <w:sz w:val="32"/>
          <w:szCs w:val="32"/>
          <w:lang w:val="en-US" w:eastAsia="zh-CN" w:bidi="ar-SA"/>
        </w:rPr>
        <w:t>司法局共承办人大建议、政协提案7项，其中人大建议1项，政协提案6项。截至目前， 吸收采纳7条，不予采纳0条，吸收采纳率100%。我单位负责的提案已全部办理完毕，办结率为100%。人大委员、政协委员对办理工作表示满意。我单位根据要求及时将人大、政协提案办理复文在泰山区人民政府门户网站进行了主动公开，接受社会监督。</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auto"/>
          <w:sz w:val="32"/>
          <w:szCs w:val="32"/>
        </w:rPr>
      </w:pPr>
      <w:r>
        <w:rPr>
          <w:rFonts w:hint="eastAsia" w:ascii="仿宋_GB2312" w:hAnsi="Calibri" w:eastAsia="仿宋_GB2312" w:cs="Times New Roman"/>
          <w:color w:val="auto"/>
          <w:kern w:val="0"/>
          <w:sz w:val="32"/>
          <w:szCs w:val="32"/>
          <w:lang w:val="en-US" w:eastAsia="zh-CN" w:bidi="ar-SA"/>
        </w:rPr>
        <w:t>4.2024年，泰山区司法局充分利用人民政府门户网站等平台进行信息的发布和更新，不断扩宽信息公开渠道，丰富信息公开的内容，</w:t>
      </w:r>
      <w:r>
        <w:rPr>
          <w:rFonts w:hint="eastAsia" w:ascii="仿宋_GB2312" w:eastAsia="仿宋_GB2312"/>
          <w:color w:val="auto"/>
          <w:sz w:val="32"/>
          <w:szCs w:val="32"/>
        </w:rPr>
        <w:t>创新载体深化新媒体与政府信息公开的有机结合，</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Calibri" w:eastAsia="仿宋_GB2312" w:cs="Times New Roman"/>
          <w:color w:val="auto"/>
          <w:kern w:val="0"/>
          <w:sz w:val="32"/>
          <w:szCs w:val="32"/>
          <w:lang w:val="en-US" w:eastAsia="zh-CN" w:bidi="ar-SA"/>
        </w:rPr>
      </w:pPr>
      <w:r>
        <w:rPr>
          <w:rFonts w:hint="eastAsia" w:ascii="仿宋_GB2312" w:hAnsi="Calibri" w:eastAsia="仿宋_GB2312" w:cs="Times New Roman"/>
          <w:color w:val="auto"/>
          <w:kern w:val="0"/>
          <w:sz w:val="32"/>
          <w:szCs w:val="32"/>
          <w:lang w:val="en-US" w:eastAsia="zh-CN" w:bidi="ar-SA"/>
        </w:rPr>
        <w:t>多角度、多途径的进行政务信息的公开。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p>
    <w:sectPr>
      <w:footerReference r:id="rId3" w:type="default"/>
      <w:pgSz w:w="11906" w:h="16838"/>
      <w:pgMar w:top="1701"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仿宋">
    <w:panose1 w:val="02010600040101010101"/>
    <w:charset w:val="86"/>
    <w:family w:val="auto"/>
    <w:pitch w:val="default"/>
    <w:sig w:usb0="00000287" w:usb1="080F0000" w:usb2="00000000" w:usb3="00000000" w:csb0="0004009F" w:csb1="DFD70000"/>
  </w:font>
  <w:font w:name="Cambria">
    <w:altName w:val="FreeSerif"/>
    <w:panose1 w:val="02040503050406030204"/>
    <w:charset w:val="00"/>
    <w:family w:val="auto"/>
    <w:pitch w:val="default"/>
    <w:sig w:usb0="00000000" w:usb1="00000000"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楷体_GB2312">
    <w:altName w:val="方正楷体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decorative"/>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FreeSerif">
    <w:panose1 w:val="02020603050405020304"/>
    <w:charset w:val="00"/>
    <w:family w:val="auto"/>
    <w:pitch w:val="default"/>
    <w:sig w:usb0="E59FAFFF" w:usb1="C200FDFF" w:usb2="43501B29" w:usb3="04000043" w:csb0="600101FF" w:csb1="F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Times New Roman" w:hAnsi="Times New Roman" w:cs="Times New Roman"/>
        <w:sz w:val="24"/>
        <w:szCs w:val="24"/>
      </w:rPr>
      <w:t xml:space="preserve">— </w:t>
    </w:r>
    <w:sdt>
      <w:sdtPr>
        <w:rPr>
          <w:rFonts w:ascii="Times New Roman" w:hAnsi="Times New Roman" w:cs="Times New Roman"/>
          <w:sz w:val="24"/>
          <w:szCs w:val="24"/>
        </w:rPr>
        <w:id w:val="3190876"/>
      </w:sdtPr>
      <w:sdtEndPr>
        <w:rPr>
          <w:rFonts w:asciiTheme="minorHAnsi" w:hAnsiTheme="minorHAnsi" w:cstheme="minorBidi"/>
          <w:sz w:val="18"/>
          <w:szCs w:val="18"/>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sdtContent>
    </w:sdt>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65E731"/>
    <w:multiLevelType w:val="singleLevel"/>
    <w:tmpl w:val="B065E731"/>
    <w:lvl w:ilvl="0" w:tentative="0">
      <w:start w:val="5"/>
      <w:numFmt w:val="chineseCounting"/>
      <w:suff w:val="nothing"/>
      <w:lvlText w:val="%1、"/>
      <w:lvlJc w:val="left"/>
      <w:rPr>
        <w:rFonts w:hint="eastAsia"/>
      </w:rPr>
    </w:lvl>
  </w:abstractNum>
  <w:abstractNum w:abstractNumId="1">
    <w:nsid w:val="1946E156"/>
    <w:multiLevelType w:val="singleLevel"/>
    <w:tmpl w:val="1946E15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6FB"/>
    <w:rsid w:val="003F5380"/>
    <w:rsid w:val="005F04B3"/>
    <w:rsid w:val="007043DD"/>
    <w:rsid w:val="00725311"/>
    <w:rsid w:val="007C0E41"/>
    <w:rsid w:val="008260F2"/>
    <w:rsid w:val="008510D4"/>
    <w:rsid w:val="008E79FC"/>
    <w:rsid w:val="009036FB"/>
    <w:rsid w:val="00A6635A"/>
    <w:rsid w:val="00A935C0"/>
    <w:rsid w:val="04624A99"/>
    <w:rsid w:val="04661011"/>
    <w:rsid w:val="04BD1BA7"/>
    <w:rsid w:val="0BE44893"/>
    <w:rsid w:val="0C197EFD"/>
    <w:rsid w:val="0C886EAB"/>
    <w:rsid w:val="118F7958"/>
    <w:rsid w:val="153C0E2B"/>
    <w:rsid w:val="17600C4E"/>
    <w:rsid w:val="20315E0F"/>
    <w:rsid w:val="20792A83"/>
    <w:rsid w:val="21537630"/>
    <w:rsid w:val="25D42A09"/>
    <w:rsid w:val="283D0195"/>
    <w:rsid w:val="2D126E0D"/>
    <w:rsid w:val="2ED9699B"/>
    <w:rsid w:val="31473E7A"/>
    <w:rsid w:val="318E1295"/>
    <w:rsid w:val="364F21ED"/>
    <w:rsid w:val="372142C2"/>
    <w:rsid w:val="388A4CBC"/>
    <w:rsid w:val="3B5F2061"/>
    <w:rsid w:val="3B7FB81F"/>
    <w:rsid w:val="3BF75330"/>
    <w:rsid w:val="3F3D2863"/>
    <w:rsid w:val="3FF605CD"/>
    <w:rsid w:val="468B3F91"/>
    <w:rsid w:val="4E2F67D9"/>
    <w:rsid w:val="50C05EDB"/>
    <w:rsid w:val="50CD4459"/>
    <w:rsid w:val="540366B0"/>
    <w:rsid w:val="55AE4A7C"/>
    <w:rsid w:val="55DFC822"/>
    <w:rsid w:val="59186333"/>
    <w:rsid w:val="5D7F1BA1"/>
    <w:rsid w:val="5EEDC3F8"/>
    <w:rsid w:val="60DA1397"/>
    <w:rsid w:val="635D0996"/>
    <w:rsid w:val="65FF0DA3"/>
    <w:rsid w:val="671F2A18"/>
    <w:rsid w:val="6D5E78C6"/>
    <w:rsid w:val="6D876F5F"/>
    <w:rsid w:val="76DDF9C0"/>
    <w:rsid w:val="77B81EDB"/>
    <w:rsid w:val="7A387F61"/>
    <w:rsid w:val="7AF79EE2"/>
    <w:rsid w:val="7B3FCCA9"/>
    <w:rsid w:val="7E5C8C4E"/>
    <w:rsid w:val="7F3F70A9"/>
    <w:rsid w:val="7F7F0ED8"/>
    <w:rsid w:val="7FFEDE2F"/>
    <w:rsid w:val="8FBBAD1D"/>
    <w:rsid w:val="ABDE8AB7"/>
    <w:rsid w:val="BC375350"/>
    <w:rsid w:val="BFEF537E"/>
    <w:rsid w:val="DEFFB33B"/>
    <w:rsid w:val="DFFE8098"/>
    <w:rsid w:val="EF5EF59E"/>
    <w:rsid w:val="EFBD352D"/>
    <w:rsid w:val="F77C5607"/>
    <w:rsid w:val="FFDDA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8">
    <w:name w:val="Hyperlink"/>
    <w:basedOn w:val="7"/>
    <w:qFormat/>
    <w:uiPriority w:val="0"/>
    <w:rPr>
      <w:color w:val="0000FF"/>
      <w:u w:val="single"/>
    </w:rPr>
  </w:style>
  <w:style w:type="character" w:customStyle="1" w:styleId="9">
    <w:name w:val="页眉 字符"/>
    <w:basedOn w:val="7"/>
    <w:link w:val="4"/>
    <w:semiHidden/>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Www.Ndeer.Com</Company>
  <Pages>6</Pages>
  <Words>2323</Words>
  <Characters>2401</Characters>
  <Lines>30</Lines>
  <Paragraphs>8</Paragraphs>
  <TotalTime>23</TotalTime>
  <ScaleCrop>false</ScaleCrop>
  <LinksUpToDate>false</LinksUpToDate>
  <CharactersWithSpaces>2432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2020-01-10T18:42:00Z</dcterms:created>
  <dc:creator>Administrator</dc:creator>
  <cp:lastModifiedBy>kylin</cp:lastModifiedBy>
  <dcterms:modified xsi:type="dcterms:W3CDTF">2025-01-20T14:30:03Z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5B04F4B38AAD40FEAD7604E444F2A63D_13</vt:lpwstr>
  </property>
  <property fmtid="{D5CDD505-2E9C-101B-9397-08002B2CF9AE}" pid="4" name="KSOTemplateDocerSaveRecord">
    <vt:lpwstr>eyJoZGlkIjoiZTE1YWFmOTBmY2JlNzZhMzlmZWEwOTBjNzJhZTk4YjQiLCJ1c2VySWQiOiIyODU4ODU5NzcifQ==</vt:lpwstr>
  </property>
</Properties>
</file>