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both"/>
        <w:rPr>
          <w:rFonts w:ascii="Times New Roman" w:hAnsi="Times New Roman" w:eastAsia="黑体"/>
          <w:color w:val="333333"/>
          <w:sz w:val="32"/>
          <w:szCs w:val="32"/>
        </w:rPr>
      </w:pPr>
    </w:p>
    <w:p>
      <w:pPr>
        <w:pStyle w:val="6"/>
        <w:spacing w:before="0" w:beforeAutospacing="0" w:after="0" w:afterAutospacing="0" w:line="600" w:lineRule="exact"/>
        <w:ind w:firstLine="920" w:firstLineChars="200"/>
        <w:jc w:val="center"/>
        <w:rPr>
          <w:rFonts w:hint="eastAsia" w:ascii="Times New Roman" w:hAnsi="Times New Roman" w:eastAsia="方正小标宋简体"/>
          <w:color w:val="333333"/>
          <w:spacing w:val="10"/>
          <w:sz w:val="44"/>
          <w:szCs w:val="44"/>
        </w:rPr>
      </w:pPr>
      <w:r>
        <w:rPr>
          <w:rFonts w:ascii="Times New Roman" w:hAnsi="Times New Roman" w:eastAsia="方正小标宋简体"/>
          <w:color w:val="333333"/>
          <w:spacing w:val="10"/>
          <w:sz w:val="44"/>
          <w:szCs w:val="44"/>
        </w:rPr>
        <w:t>泰安市泰山区交通运输局</w:t>
      </w:r>
    </w:p>
    <w:p>
      <w:pPr>
        <w:pStyle w:val="6"/>
        <w:spacing w:before="0" w:beforeAutospacing="0" w:after="0" w:afterAutospacing="0" w:line="600" w:lineRule="exact"/>
        <w:ind w:firstLine="920" w:firstLineChars="200"/>
        <w:jc w:val="center"/>
        <w:rPr>
          <w:rFonts w:ascii="Times New Roman" w:hAnsi="Times New Roman" w:eastAsia="方正小标宋简体"/>
          <w:color w:val="333333"/>
          <w:spacing w:val="10"/>
          <w:sz w:val="44"/>
          <w:szCs w:val="44"/>
        </w:rPr>
      </w:pPr>
      <w:r>
        <w:rPr>
          <w:rFonts w:hint="eastAsia" w:ascii="Times New Roman" w:hAnsi="Times New Roman" w:eastAsia="方正小标宋简体"/>
          <w:color w:val="333333"/>
          <w:spacing w:val="10"/>
          <w:sz w:val="44"/>
          <w:szCs w:val="44"/>
        </w:rPr>
        <w:t>2021</w:t>
      </w:r>
      <w:r>
        <w:rPr>
          <w:rFonts w:ascii="Times New Roman" w:hAnsi="Times New Roman" w:eastAsia="方正小标宋简体"/>
          <w:color w:val="333333"/>
          <w:spacing w:val="10"/>
          <w:sz w:val="44"/>
          <w:szCs w:val="44"/>
        </w:rPr>
        <w:t>年政府信息公开工作年度报告</w:t>
      </w:r>
    </w:p>
    <w:p>
      <w:pPr>
        <w:pStyle w:val="6"/>
        <w:spacing w:before="0" w:beforeAutospacing="0" w:after="0" w:afterAutospacing="0" w:line="600" w:lineRule="exact"/>
        <w:ind w:firstLine="880" w:firstLineChars="200"/>
        <w:jc w:val="both"/>
        <w:rPr>
          <w:rFonts w:ascii="Times New Roman" w:hAnsi="Times New Roman" w:eastAsia="方正小标宋简体"/>
          <w:sz w:val="44"/>
          <w:szCs w:val="44"/>
        </w:rPr>
      </w:pPr>
    </w:p>
    <w:p>
      <w:pPr>
        <w:pStyle w:val="6"/>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根据《中华人民共和国政府信息公开条例》，特向社会公布2021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各级人民政府的政府信息公开工作年度报告还应当包括工作考核、社会评议和责任追究结果情况；其他需要报告的事项。报告中所列数据的统计期限自2021年1月1日起至2021年12月31日止。</w:t>
      </w:r>
    </w:p>
    <w:p>
      <w:pPr>
        <w:pStyle w:val="6"/>
        <w:spacing w:before="0" w:beforeAutospacing="0" w:after="0" w:afterAutospacing="0" w:line="600" w:lineRule="exact"/>
        <w:ind w:firstLine="640" w:firstLineChars="200"/>
        <w:jc w:val="both"/>
        <w:rPr>
          <w:rFonts w:ascii="黑体" w:hAnsi="黑体" w:eastAsia="黑体"/>
          <w:sz w:val="32"/>
          <w:szCs w:val="32"/>
        </w:rPr>
      </w:pPr>
      <w:r>
        <w:rPr>
          <w:rFonts w:ascii="黑体" w:hAnsi="黑体" w:eastAsia="黑体"/>
          <w:color w:val="333333"/>
          <w:sz w:val="32"/>
          <w:szCs w:val="32"/>
        </w:rPr>
        <w:t>一、总体情况</w:t>
      </w:r>
    </w:p>
    <w:p>
      <w:pPr>
        <w:pStyle w:val="6"/>
        <w:spacing w:before="0" w:beforeAutospacing="0" w:after="0" w:afterAutospacing="0" w:line="600" w:lineRule="exact"/>
        <w:ind w:firstLine="640" w:firstLineChars="200"/>
        <w:jc w:val="both"/>
        <w:rPr>
          <w:rFonts w:ascii="Times New Roman" w:hAnsi="Times New Roman" w:eastAsia="仿宋_GB2312"/>
          <w:color w:val="333333"/>
          <w:sz w:val="32"/>
          <w:szCs w:val="32"/>
        </w:rPr>
      </w:pPr>
      <w:r>
        <w:rPr>
          <w:rFonts w:hint="eastAsia" w:ascii="仿宋" w:hAnsi="仿宋" w:eastAsia="仿宋" w:cs="宋体"/>
          <w:color w:val="000000"/>
          <w:sz w:val="32"/>
          <w:szCs w:val="32"/>
          <w:shd w:val="clear" w:color="auto" w:fill="FFFFFF"/>
        </w:rPr>
        <w:t>2021年，泰山区交通运输局坚持以习近平新时代中国特色社会主义思想为指导，深入贯彻落实中央和省、市、区关于政务公开的工作要求和决策部署，深入推进政务公开各项工作落实。坚持 "以公开为常态、不公开为例外"，加强政策解读、扩大公众参与、积极回应关切、规范依申请公开等工作，务实创新，多措并举，政务公开标准化规范化水平进一步提升。</w:t>
      </w:r>
    </w:p>
    <w:p>
      <w:pPr>
        <w:spacing w:line="600" w:lineRule="exact"/>
        <w:ind w:firstLine="643" w:firstLineChars="200"/>
        <w:rPr>
          <w:rFonts w:ascii="仿宋" w:hAnsi="仿宋" w:eastAsia="仿宋"/>
          <w:color w:val="000000"/>
          <w:kern w:val="0"/>
          <w:sz w:val="24"/>
        </w:rPr>
      </w:pPr>
      <w:r>
        <w:rPr>
          <w:rFonts w:ascii="仿宋_GB2312" w:eastAsia="仿宋_GB2312"/>
          <w:b/>
          <w:bCs/>
          <w:sz w:val="32"/>
          <w:szCs w:val="32"/>
        </w:rPr>
        <w:t>1.主动公开</w:t>
      </w:r>
      <w:r>
        <w:rPr>
          <w:rFonts w:hint="eastAsia" w:ascii="仿宋_GB2312" w:eastAsia="仿宋_GB2312"/>
          <w:b/>
          <w:bCs/>
          <w:sz w:val="32"/>
          <w:szCs w:val="32"/>
        </w:rPr>
        <w:t>。</w:t>
      </w:r>
      <w:r>
        <w:rPr>
          <w:rFonts w:ascii="仿宋" w:hAnsi="仿宋" w:eastAsia="仿宋"/>
          <w:color w:val="000000"/>
          <w:kern w:val="0"/>
          <w:sz w:val="32"/>
          <w:szCs w:val="32"/>
        </w:rPr>
        <w:t>推进政府信息公开是贯彻落实《中华人民共和国政府信息公开条例》的重要举措，也是转变政府职能、实现管理创新、建设人民满意的服务型政府部门的一项重要工作。对此，我局高度重视，健全了以主要负责人为组长，分管负责人任为组长，机关各科室和局直各单位相关负责同志为成员的局政府信息公开工作领导小组。按照“谁主管、谁发布、谁负责”的原则，制定了信息公开上网审批表，严格保密审查。在推进政府信息公开工作中，严格坚持政府信息公开保密工作程序，建立健全信息发布保密审查机制。严格按照《国家保密法》及有关法律、法规和规章规定，对拟公开的政府信息是否涉及国家秘密、商业秘密、个人隐私进行认真审查，对涉密的政府信息，未经特殊许可的不得公开。切实保障政府信息公开工作所需的设备和网络，确保设备、网络运行安全。</w:t>
      </w:r>
    </w:p>
    <w:p>
      <w:pPr>
        <w:pStyle w:val="6"/>
        <w:spacing w:before="0" w:beforeAutospacing="0" w:after="0" w:afterAutospacing="0" w:line="600" w:lineRule="exact"/>
        <w:ind w:firstLine="640" w:firstLineChars="200"/>
        <w:jc w:val="both"/>
        <w:rPr>
          <w:rFonts w:hint="eastAsia" w:ascii="仿宋" w:hAnsi="仿宋" w:eastAsia="仿宋"/>
          <w:sz w:val="32"/>
          <w:szCs w:val="32"/>
        </w:rPr>
      </w:pPr>
      <w:r>
        <w:rPr>
          <w:rFonts w:hint="eastAsia" w:ascii="仿宋" w:hAnsi="仿宋" w:eastAsia="仿宋" w:cs="宋体"/>
          <w:color w:val="000000"/>
          <w:sz w:val="32"/>
          <w:szCs w:val="32"/>
          <w:shd w:val="clear" w:color="auto" w:fill="FFFFFF"/>
        </w:rPr>
        <w:t>2021年，通过区政府信息公开网站发布信息117条，对《泰安市泰山区人民政府办公室关于印发泰山区深化农村道路管理养护体制改革实施意见和泰山区农村道路路长制实施方案的通知》（泰山政办字〔2021〕18号）进行了政策解读，进一步扩大了社会公众的知情权、参与权和监督权。</w:t>
      </w:r>
    </w:p>
    <w:p>
      <w:pPr>
        <w:spacing w:line="600" w:lineRule="exact"/>
        <w:ind w:firstLine="643" w:firstLineChars="200"/>
        <w:rPr>
          <w:rFonts w:ascii="楷体_GB2312" w:hAnsi="仿宋" w:eastAsia="楷体_GB2312"/>
          <w:color w:val="000000"/>
          <w:kern w:val="0"/>
          <w:sz w:val="24"/>
        </w:rPr>
      </w:pPr>
      <w:r>
        <w:rPr>
          <w:rFonts w:ascii="仿宋_GB2312" w:eastAsia="仿宋_GB2312"/>
          <w:b/>
          <w:bCs/>
          <w:sz w:val="32"/>
          <w:szCs w:val="32"/>
        </w:rPr>
        <w:t>2.依申请公开</w:t>
      </w:r>
      <w:r>
        <w:rPr>
          <w:rFonts w:hint="eastAsia" w:ascii="仿宋_GB2312" w:eastAsia="仿宋_GB2312"/>
          <w:b/>
          <w:bCs/>
          <w:sz w:val="32"/>
          <w:szCs w:val="32"/>
        </w:rPr>
        <w:t>。</w:t>
      </w:r>
      <w:r>
        <w:rPr>
          <w:rFonts w:hint="eastAsia" w:ascii="仿宋" w:hAnsi="仿宋" w:eastAsia="仿宋" w:cs="宋体"/>
          <w:color w:val="000000"/>
          <w:kern w:val="0"/>
          <w:sz w:val="32"/>
          <w:szCs w:val="32"/>
          <w:shd w:val="clear" w:color="auto" w:fill="FFFFFF"/>
        </w:rPr>
        <w:t>为进一步做好政府信息依申请公开工作，有效保障人民群众的知情权、监督权，我局建立了政府信息依申请公开工作流程，要求进一步规范受理、办理、答复等环节，适时修订完善本单位政府信息公开指南，明确依申请公开工作机制、受理渠道和办理程序。2021年，我局共接到依申请公开办件0件。</w:t>
      </w:r>
    </w:p>
    <w:p>
      <w:pPr>
        <w:spacing w:line="600" w:lineRule="exact"/>
        <w:ind w:firstLine="643" w:firstLineChars="200"/>
        <w:rPr>
          <w:rFonts w:ascii="楷体_GB2312" w:hAnsi="仿宋" w:eastAsia="楷体_GB2312"/>
          <w:color w:val="000000"/>
          <w:kern w:val="0"/>
          <w:sz w:val="24"/>
        </w:rPr>
      </w:pPr>
      <w:r>
        <w:rPr>
          <w:rFonts w:ascii="仿宋_GB2312" w:eastAsia="仿宋_GB2312"/>
          <w:b/>
          <w:bCs/>
          <w:sz w:val="32"/>
          <w:szCs w:val="32"/>
        </w:rPr>
        <w:t>3.政府信息管理</w:t>
      </w:r>
      <w:r>
        <w:rPr>
          <w:rFonts w:hint="eastAsia" w:ascii="仿宋_GB2312" w:eastAsia="仿宋_GB2312"/>
          <w:b/>
          <w:bCs/>
          <w:sz w:val="32"/>
          <w:szCs w:val="32"/>
        </w:rPr>
        <w:t>。</w:t>
      </w:r>
      <w:r>
        <w:rPr>
          <w:rFonts w:hint="eastAsia" w:ascii="仿宋" w:hAnsi="仿宋" w:eastAsia="仿宋" w:cs="宋体"/>
          <w:color w:val="000000"/>
          <w:kern w:val="0"/>
          <w:sz w:val="32"/>
          <w:szCs w:val="32"/>
          <w:shd w:val="clear" w:color="auto" w:fill="FFFFFF"/>
        </w:rPr>
        <w:t>在已有的制度基础上，结合实际情况不断进行完善、不断优化，为工作开展提供了机制保障。建立政府信息公开内容审查制度。完善局政务信息、主动公开制度、公开舆情回应制度等，严格保证政府信息公开内容准确无误，定期修改账户密码，加强信息发布员的安全意识。</w:t>
      </w:r>
    </w:p>
    <w:p>
      <w:pPr>
        <w:ind w:firstLine="643" w:firstLineChars="200"/>
        <w:rPr>
          <w:rFonts w:ascii="仿宋_GB2312" w:eastAsia="仿宋_GB2312"/>
          <w:sz w:val="32"/>
          <w:szCs w:val="32"/>
        </w:rPr>
      </w:pPr>
      <w:r>
        <w:rPr>
          <w:rFonts w:ascii="仿宋_GB2312" w:eastAsia="仿宋_GB2312"/>
          <w:b/>
          <w:bCs/>
          <w:sz w:val="32"/>
          <w:szCs w:val="32"/>
        </w:rPr>
        <w:t>4.</w:t>
      </w:r>
      <w:r>
        <w:rPr>
          <w:rFonts w:hint="eastAsia" w:ascii="仿宋_GB2312" w:eastAsia="仿宋_GB2312"/>
          <w:b/>
          <w:bCs/>
          <w:sz w:val="32"/>
          <w:szCs w:val="32"/>
        </w:rPr>
        <w:t>政府信息公开</w:t>
      </w:r>
      <w:r>
        <w:rPr>
          <w:rFonts w:ascii="仿宋_GB2312" w:eastAsia="仿宋_GB2312"/>
          <w:b/>
          <w:bCs/>
          <w:sz w:val="32"/>
          <w:szCs w:val="32"/>
        </w:rPr>
        <w:t>平台建设</w:t>
      </w:r>
      <w:r>
        <w:rPr>
          <w:rFonts w:hint="eastAsia" w:ascii="仿宋_GB2312" w:eastAsia="仿宋_GB2312"/>
          <w:b/>
          <w:bCs/>
          <w:sz w:val="32"/>
          <w:szCs w:val="32"/>
        </w:rPr>
        <w:t>。</w:t>
      </w:r>
      <w:r>
        <w:rPr>
          <w:rFonts w:ascii="仿宋" w:hAnsi="仿宋" w:eastAsia="仿宋"/>
          <w:bCs/>
          <w:color w:val="333333"/>
          <w:sz w:val="32"/>
          <w:szCs w:val="32"/>
        </w:rPr>
        <w:t>报告的电子版可在</w:t>
      </w:r>
      <w:r>
        <w:rPr>
          <w:rFonts w:hint="eastAsia" w:ascii="仿宋" w:hAnsi="仿宋" w:eastAsia="仿宋"/>
          <w:bCs/>
          <w:color w:val="333333"/>
          <w:sz w:val="32"/>
          <w:szCs w:val="32"/>
        </w:rPr>
        <w:t>泰山区</w:t>
      </w:r>
      <w:r>
        <w:rPr>
          <w:rFonts w:ascii="仿宋" w:hAnsi="仿宋" w:eastAsia="仿宋"/>
          <w:bCs/>
          <w:color w:val="333333"/>
          <w:sz w:val="32"/>
          <w:szCs w:val="32"/>
        </w:rPr>
        <w:t>人民政府网站（www.</w:t>
      </w:r>
      <w:r>
        <w:rPr>
          <w:rFonts w:hint="eastAsia" w:ascii="仿宋" w:hAnsi="仿宋" w:eastAsia="仿宋"/>
          <w:bCs/>
          <w:color w:val="333333"/>
          <w:sz w:val="32"/>
          <w:szCs w:val="32"/>
        </w:rPr>
        <w:t>sd</w:t>
      </w:r>
      <w:r>
        <w:rPr>
          <w:rFonts w:ascii="仿宋" w:hAnsi="仿宋" w:eastAsia="仿宋"/>
          <w:bCs/>
          <w:color w:val="333333"/>
          <w:sz w:val="32"/>
          <w:szCs w:val="32"/>
        </w:rPr>
        <w:t>tai</w:t>
      </w:r>
      <w:r>
        <w:rPr>
          <w:rFonts w:hint="eastAsia" w:ascii="仿宋" w:hAnsi="仿宋" w:eastAsia="仿宋"/>
          <w:bCs/>
          <w:color w:val="333333"/>
          <w:sz w:val="32"/>
          <w:szCs w:val="32"/>
        </w:rPr>
        <w:t>sh</w:t>
      </w:r>
      <w:r>
        <w:rPr>
          <w:rFonts w:ascii="仿宋" w:hAnsi="仿宋" w:eastAsia="仿宋"/>
          <w:bCs/>
          <w:color w:val="333333"/>
          <w:sz w:val="32"/>
          <w:szCs w:val="32"/>
        </w:rPr>
        <w:t>an.gov.cn）下载，在泰安市泰山区交通运输局三楼办公室设置了现场查阅点。如对本报告有任何疑问，请与</w:t>
      </w:r>
      <w:r>
        <w:rPr>
          <w:rFonts w:hint="eastAsia" w:ascii="仿宋" w:hAnsi="仿宋" w:eastAsia="仿宋"/>
          <w:bCs/>
          <w:color w:val="333333"/>
          <w:sz w:val="32"/>
          <w:szCs w:val="32"/>
        </w:rPr>
        <w:t>泰安市泰山区交通运输局</w:t>
      </w:r>
      <w:r>
        <w:rPr>
          <w:rFonts w:ascii="仿宋" w:hAnsi="仿宋" w:eastAsia="仿宋"/>
          <w:bCs/>
          <w:color w:val="333333"/>
          <w:sz w:val="32"/>
          <w:szCs w:val="32"/>
        </w:rPr>
        <w:t>联系（地址：</w:t>
      </w:r>
      <w:r>
        <w:rPr>
          <w:rFonts w:hint="eastAsia" w:ascii="仿宋" w:hAnsi="仿宋" w:eastAsia="仿宋"/>
          <w:bCs/>
          <w:color w:val="333333"/>
          <w:sz w:val="32"/>
          <w:szCs w:val="32"/>
        </w:rPr>
        <w:t>泰安市泰山区东湖路258号</w:t>
      </w:r>
      <w:r>
        <w:rPr>
          <w:rFonts w:ascii="仿宋" w:hAnsi="仿宋" w:eastAsia="仿宋"/>
          <w:bCs/>
          <w:color w:val="333333"/>
          <w:sz w:val="32"/>
          <w:szCs w:val="32"/>
        </w:rPr>
        <w:t>；邮编：</w:t>
      </w:r>
      <w:r>
        <w:rPr>
          <w:rFonts w:hint="eastAsia" w:ascii="仿宋" w:hAnsi="仿宋" w:eastAsia="仿宋"/>
          <w:bCs/>
          <w:color w:val="333333"/>
          <w:sz w:val="32"/>
          <w:szCs w:val="32"/>
        </w:rPr>
        <w:t>271000</w:t>
      </w:r>
      <w:r>
        <w:rPr>
          <w:rFonts w:ascii="仿宋" w:hAnsi="仿宋" w:eastAsia="仿宋"/>
          <w:bCs/>
          <w:color w:val="333333"/>
          <w:sz w:val="32"/>
          <w:szCs w:val="32"/>
        </w:rPr>
        <w:t>；电话：</w:t>
      </w:r>
      <w:r>
        <w:rPr>
          <w:rFonts w:hint="eastAsia" w:ascii="仿宋" w:hAnsi="仿宋" w:eastAsia="仿宋"/>
          <w:bCs/>
          <w:color w:val="333333"/>
          <w:sz w:val="32"/>
          <w:szCs w:val="32"/>
        </w:rPr>
        <w:t>8512789</w:t>
      </w:r>
      <w:r>
        <w:rPr>
          <w:rFonts w:ascii="仿宋" w:hAnsi="仿宋" w:eastAsia="仿宋"/>
          <w:bCs/>
          <w:color w:val="333333"/>
          <w:sz w:val="32"/>
          <w:szCs w:val="32"/>
        </w:rPr>
        <w:t>；传真：</w:t>
      </w:r>
      <w:r>
        <w:rPr>
          <w:rFonts w:hint="eastAsia" w:ascii="仿宋" w:hAnsi="仿宋" w:eastAsia="仿宋"/>
          <w:bCs/>
          <w:color w:val="333333"/>
          <w:sz w:val="32"/>
          <w:szCs w:val="32"/>
        </w:rPr>
        <w:t>8512789</w:t>
      </w:r>
      <w:r>
        <w:rPr>
          <w:rFonts w:ascii="仿宋" w:hAnsi="仿宋" w:eastAsia="仿宋"/>
          <w:bCs/>
          <w:color w:val="333333"/>
          <w:sz w:val="32"/>
          <w:szCs w:val="32"/>
        </w:rPr>
        <w:t>；电子邮箱：</w:t>
      </w:r>
      <w:r>
        <w:fldChar w:fldCharType="begin"/>
      </w:r>
      <w:r>
        <w:instrText xml:space="preserve"> HYPERLINK "mailto:tsjtbgs@ta.shandong.cn" </w:instrText>
      </w:r>
      <w:r>
        <w:fldChar w:fldCharType="separate"/>
      </w:r>
      <w:r>
        <w:rPr>
          <w:rStyle w:val="9"/>
          <w:rFonts w:hint="eastAsia" w:ascii="仿宋" w:hAnsi="仿宋" w:eastAsia="仿宋"/>
          <w:bCs/>
          <w:sz w:val="32"/>
          <w:szCs w:val="32"/>
        </w:rPr>
        <w:t>tsjtbgs@ta.shandong.cn</w:t>
      </w:r>
      <w:r>
        <w:rPr>
          <w:rStyle w:val="9"/>
          <w:rFonts w:hint="eastAsia" w:ascii="仿宋" w:hAnsi="仿宋" w:eastAsia="仿宋"/>
          <w:bCs/>
          <w:sz w:val="32"/>
          <w:szCs w:val="32"/>
        </w:rPr>
        <w:fldChar w:fldCharType="end"/>
      </w:r>
      <w:r>
        <w:rPr>
          <w:rFonts w:ascii="仿宋" w:hAnsi="仿宋" w:eastAsia="仿宋"/>
          <w:bCs/>
          <w:color w:val="333333"/>
          <w:sz w:val="32"/>
          <w:szCs w:val="32"/>
        </w:rPr>
        <w:t>)。</w:t>
      </w:r>
    </w:p>
    <w:p>
      <w:pPr>
        <w:spacing w:line="600" w:lineRule="exact"/>
        <w:ind w:firstLine="643" w:firstLineChars="200"/>
        <w:rPr>
          <w:rFonts w:ascii="楷体_GB2312" w:hAnsi="仿宋" w:eastAsia="楷体_GB2312"/>
          <w:color w:val="000000"/>
          <w:kern w:val="0"/>
          <w:sz w:val="24"/>
        </w:rPr>
      </w:pPr>
      <w:r>
        <w:rPr>
          <w:rFonts w:ascii="仿宋_GB2312" w:eastAsia="仿宋_GB2312"/>
          <w:b/>
          <w:bCs/>
          <w:sz w:val="32"/>
          <w:szCs w:val="32"/>
        </w:rPr>
        <w:t>5.监督保障</w:t>
      </w:r>
      <w:r>
        <w:rPr>
          <w:rFonts w:hint="eastAsia" w:ascii="仿宋_GB2312" w:eastAsia="仿宋_GB2312"/>
          <w:b/>
          <w:bCs/>
          <w:sz w:val="32"/>
          <w:szCs w:val="32"/>
        </w:rPr>
        <w:t>。</w:t>
      </w:r>
      <w:r>
        <w:rPr>
          <w:rFonts w:hint="eastAsia" w:ascii="仿宋" w:hAnsi="仿宋" w:eastAsia="仿宋" w:cs="宋体"/>
          <w:color w:val="000000"/>
          <w:kern w:val="0"/>
          <w:sz w:val="32"/>
          <w:szCs w:val="32"/>
          <w:shd w:val="clear" w:color="auto" w:fill="FFFFFF"/>
        </w:rPr>
        <w:t>健全政府信息公开工作监督考核制度，保证全局政府信息公开工作落到实处。定期开展自查评估，将政务公开工作纳入年终考核。完善社会评议制度，认真收集、听取群众评议监督的意见和建议，针对出现的问题，落实整改，进一步规范政府信息公开工作。2021年，未发生因不履行政务公开义务而发生的责任追究情况。</w:t>
      </w:r>
    </w:p>
    <w:p>
      <w:pPr>
        <w:pStyle w:val="6"/>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二、</w:t>
      </w:r>
      <w:r>
        <w:rPr>
          <w:rFonts w:ascii="黑体" w:hAnsi="黑体" w:eastAsia="黑体"/>
          <w:color w:val="333333"/>
          <w:sz w:val="32"/>
          <w:szCs w:val="32"/>
        </w:rPr>
        <w:t>主动公开政府信息情况</w:t>
      </w:r>
    </w:p>
    <w:p>
      <w:pPr>
        <w:rPr>
          <w:rFonts w:ascii="黑体" w:hAnsi="黑体" w:eastAsia="黑体"/>
          <w:sz w:val="32"/>
          <w:szCs w:val="32"/>
        </w:rPr>
      </w:pP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27</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106</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95</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bl>
    <w:p>
      <w:pPr>
        <w:ind w:firstLine="640" w:firstLineChars="200"/>
        <w:rPr>
          <w:rFonts w:ascii="黑体" w:hAnsi="黑体" w:eastAsia="黑体"/>
          <w:color w:val="333333"/>
          <w:sz w:val="32"/>
          <w:szCs w:val="32"/>
        </w:rPr>
      </w:pPr>
      <w:r>
        <w:rPr>
          <w:rFonts w:hint="eastAsia" w:ascii="黑体" w:hAnsi="黑体" w:eastAsia="黑体"/>
          <w:color w:val="333333"/>
          <w:sz w:val="32"/>
          <w:szCs w:val="32"/>
        </w:rPr>
        <w:t>三、</w:t>
      </w:r>
      <w:r>
        <w:rPr>
          <w:rFonts w:ascii="黑体" w:hAnsi="黑体" w:eastAsia="黑体"/>
          <w:color w:val="333333"/>
          <w:sz w:val="32"/>
          <w:szCs w:val="32"/>
        </w:rPr>
        <w:t>收到和处理政府信息公开申请情况</w:t>
      </w:r>
    </w:p>
    <w:p>
      <w:pPr>
        <w:pStyle w:val="6"/>
        <w:spacing w:before="0" w:beforeAutospacing="0" w:after="0" w:afterAutospacing="0" w:line="600" w:lineRule="exact"/>
        <w:jc w:val="both"/>
        <w:rPr>
          <w:rFonts w:ascii="黑体" w:hAnsi="黑体" w:eastAsia="黑体"/>
          <w:color w:val="333333"/>
          <w:sz w:val="32"/>
          <w:szCs w:val="32"/>
        </w:rPr>
      </w:pP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tcMar>
              <w:left w:w="108" w:type="dxa"/>
              <w:right w:w="108" w:type="dxa"/>
            </w:tcMar>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cstheme="minorBidi"/>
                <w:kern w:val="2"/>
                <w:sz w:val="21"/>
                <w:szCs w:val="21"/>
                <w:lang w:val="en-US" w:eastAsia="zh-CN" w:bidi="ar-SA"/>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6"/>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四、政府信息公开行政复议、行政诉讼情况</w:t>
      </w:r>
    </w:p>
    <w:p>
      <w:pPr>
        <w:pStyle w:val="6"/>
        <w:spacing w:before="0" w:beforeAutospacing="0" w:after="0" w:afterAutospacing="0" w:line="600" w:lineRule="exact"/>
        <w:ind w:firstLine="480" w:firstLineChars="200"/>
        <w:jc w:val="both"/>
        <w:rPr>
          <w:rFonts w:ascii="Times New Roman" w:hAnsi="Times New Roman"/>
        </w:rPr>
      </w:pP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pStyle w:val="6"/>
        <w:spacing w:before="0" w:beforeAutospacing="0" w:after="0" w:afterAutospacing="0" w:line="600" w:lineRule="exact"/>
        <w:ind w:firstLine="640" w:firstLineChars="200"/>
        <w:jc w:val="both"/>
        <w:rPr>
          <w:rFonts w:ascii="黑体" w:hAnsi="黑体" w:eastAsia="黑体"/>
          <w:color w:val="333333"/>
          <w:sz w:val="32"/>
          <w:szCs w:val="32"/>
        </w:rPr>
      </w:pPr>
      <w:r>
        <w:rPr>
          <w:rFonts w:hint="eastAsia" w:ascii="黑体" w:hAnsi="黑体" w:eastAsia="黑体"/>
          <w:color w:val="333333"/>
          <w:sz w:val="32"/>
          <w:szCs w:val="32"/>
        </w:rPr>
        <w:t>五、</w:t>
      </w:r>
      <w:r>
        <w:rPr>
          <w:rFonts w:ascii="黑体" w:hAnsi="黑体" w:eastAsia="黑体"/>
          <w:color w:val="333333"/>
          <w:sz w:val="32"/>
          <w:szCs w:val="32"/>
        </w:rPr>
        <w:t>存在的主要问题及改进情况</w:t>
      </w:r>
    </w:p>
    <w:p>
      <w:pPr>
        <w:widowControl/>
        <w:shd w:val="clear" w:color="auto" w:fill="FFFFFF"/>
        <w:spacing w:line="560" w:lineRule="atLeast"/>
        <w:ind w:firstLine="640"/>
        <w:rPr>
          <w:rFonts w:ascii="微软雅黑" w:hAnsi="微软雅黑" w:eastAsia="微软雅黑" w:cs="宋体"/>
          <w:color w:val="333333"/>
          <w:kern w:val="0"/>
          <w:sz w:val="24"/>
          <w:szCs w:val="24"/>
        </w:rPr>
      </w:pPr>
      <w:r>
        <w:rPr>
          <w:rFonts w:hint="eastAsia" w:ascii="仿宋_GB2312" w:hAnsi="微软雅黑" w:eastAsia="仿宋_GB2312" w:cs="宋体"/>
          <w:color w:val="000000"/>
          <w:kern w:val="0"/>
          <w:sz w:val="32"/>
          <w:szCs w:val="32"/>
          <w:shd w:val="clear" w:color="auto" w:fill="FFFFFF"/>
        </w:rPr>
        <w:t>2021年，我局政府信息公开工作在信息发布量、发布时效性上虽然取得了一定的成绩，但与上级的要求、公众期望、先进单位相比，还存在一些不足和短板。主要表现：在思想认识有待进一步提高，发布信息的主动性不足；二是个别栏目依然存在信息发布时效性延后现象；三是信息发布形式单一，运用多种形式、多种角度发布信息的水平有待进一步提高。</w:t>
      </w:r>
    </w:p>
    <w:p>
      <w:pPr>
        <w:widowControl/>
        <w:shd w:val="clear" w:color="auto" w:fill="FFFFFF"/>
        <w:spacing w:line="560" w:lineRule="atLeast"/>
        <w:ind w:firstLine="640"/>
        <w:rPr>
          <w:rFonts w:hint="eastAsia" w:ascii="仿宋_GB2312" w:eastAsia="仿宋_GB2312"/>
          <w:sz w:val="32"/>
          <w:szCs w:val="32"/>
        </w:rPr>
      </w:pPr>
      <w:r>
        <w:rPr>
          <w:rFonts w:hint="eastAsia" w:ascii="仿宋_GB2312" w:hAnsi="微软雅黑" w:eastAsia="仿宋_GB2312" w:cs="宋体"/>
          <w:color w:val="000000"/>
          <w:kern w:val="0"/>
          <w:sz w:val="32"/>
          <w:szCs w:val="32"/>
          <w:shd w:val="clear" w:color="auto" w:fill="FFFFFF"/>
        </w:rPr>
        <w:t>针对上述问题，我局将坚持问题导向，进一步提高思想认识，加强对《条例》等法律法规的学习，强化对政府信息公开专兼职队伍的建设和能力提升</w:t>
      </w:r>
      <w:r>
        <w:rPr>
          <w:rFonts w:hint="eastAsia" w:ascii="仿宋_GB2312" w:eastAsia="仿宋_GB2312"/>
          <w:sz w:val="32"/>
          <w:szCs w:val="32"/>
        </w:rPr>
        <w:t>；压实工作责任，进一步提高信息发布效率，确保信息发布时效性；创新方式方法，提高政府信息公开质量。</w:t>
      </w:r>
    </w:p>
    <w:p>
      <w:pPr>
        <w:pStyle w:val="6"/>
        <w:numPr>
          <w:ilvl w:val="0"/>
          <w:numId w:val="1"/>
        </w:numPr>
        <w:spacing w:before="0" w:beforeAutospacing="0" w:after="0" w:afterAutospacing="0" w:line="600" w:lineRule="exact"/>
        <w:ind w:firstLine="640" w:firstLineChars="200"/>
        <w:jc w:val="both"/>
        <w:rPr>
          <w:rFonts w:ascii="黑体" w:hAnsi="黑体" w:eastAsia="黑体"/>
          <w:color w:val="333333"/>
          <w:sz w:val="32"/>
          <w:szCs w:val="32"/>
        </w:rPr>
      </w:pPr>
      <w:r>
        <w:rPr>
          <w:rFonts w:ascii="黑体" w:hAnsi="黑体" w:eastAsia="黑体"/>
          <w:color w:val="333333"/>
          <w:sz w:val="32"/>
          <w:szCs w:val="32"/>
        </w:rPr>
        <w:t>其他需要报告的事项</w:t>
      </w:r>
    </w:p>
    <w:p>
      <w:pPr>
        <w:pStyle w:val="6"/>
        <w:numPr>
          <w:numId w:val="0"/>
        </w:numPr>
        <w:spacing w:before="0" w:beforeAutospacing="0" w:after="0" w:afterAutospacing="0" w:line="600" w:lineRule="exact"/>
        <w:jc w:val="both"/>
        <w:rPr>
          <w:rFonts w:hint="eastAsia" w:ascii="仿宋_GB2312" w:eastAsia="仿宋_GB2312" w:hAnsiTheme="minorHAnsi" w:cstheme="minorBidi"/>
          <w:kern w:val="2"/>
          <w:sz w:val="32"/>
          <w:szCs w:val="32"/>
          <w:lang w:val="en-US" w:eastAsia="zh-CN" w:bidi="ar-SA"/>
        </w:rPr>
      </w:pPr>
      <w:r>
        <w:rPr>
          <w:rFonts w:hint="eastAsia" w:ascii="黑体" w:hAnsi="黑体" w:eastAsia="黑体"/>
          <w:color w:val="333333"/>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 xml:space="preserve">  1.依据《政府信息公开信息处理费管理办法》收取信息处理费的情况。无</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2021年，我局按照区委、区政府关于年度政府信息公开工作的决策部署和具体要求，紧紧围绕工作要点，扎实开展各项工作，圆满完成</w:t>
      </w:r>
      <w:bookmarkStart w:id="10" w:name="_GoBack"/>
      <w:bookmarkEnd w:id="10"/>
      <w:r>
        <w:rPr>
          <w:rFonts w:hint="eastAsia" w:ascii="仿宋_GB2312" w:eastAsia="仿宋_GB2312"/>
          <w:sz w:val="32"/>
          <w:szCs w:val="32"/>
        </w:rPr>
        <w:t>了年度工作任务。</w:t>
      </w:r>
    </w:p>
    <w:p>
      <w:pPr>
        <w:ind w:firstLine="640" w:firstLineChars="200"/>
        <w:rPr>
          <w:rFonts w:ascii="Times New Roman" w:hAnsi="Times New Roman" w:eastAsia="仿宋_GB2312" w:cs="Times New Roman"/>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2021年，我局共办理人大建议1件、政协提案1件，均已将办理结果公开。</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B66D23"/>
    <w:multiLevelType w:val="singleLevel"/>
    <w:tmpl w:val="E9B66D2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wMmFlZmI5ZDkzNWRhMmNhMjk3YWIzMmRmOTVkOTkifQ=="/>
  </w:docVars>
  <w:rsids>
    <w:rsidRoot w:val="009036FB"/>
    <w:rsid w:val="000A1FB2"/>
    <w:rsid w:val="000A3CEB"/>
    <w:rsid w:val="000E5A8C"/>
    <w:rsid w:val="003F5380"/>
    <w:rsid w:val="00416CC7"/>
    <w:rsid w:val="005D5149"/>
    <w:rsid w:val="005F04B3"/>
    <w:rsid w:val="006E6D22"/>
    <w:rsid w:val="007043DD"/>
    <w:rsid w:val="00725311"/>
    <w:rsid w:val="007C0E41"/>
    <w:rsid w:val="008260F2"/>
    <w:rsid w:val="008510D4"/>
    <w:rsid w:val="008E79FC"/>
    <w:rsid w:val="009036FB"/>
    <w:rsid w:val="009438B1"/>
    <w:rsid w:val="00A5390B"/>
    <w:rsid w:val="00A6635A"/>
    <w:rsid w:val="00A935C0"/>
    <w:rsid w:val="00C24877"/>
    <w:rsid w:val="00D65329"/>
    <w:rsid w:val="00E35679"/>
    <w:rsid w:val="00EF1A6C"/>
    <w:rsid w:val="04624A99"/>
    <w:rsid w:val="04661011"/>
    <w:rsid w:val="04BD1BA7"/>
    <w:rsid w:val="0BE44893"/>
    <w:rsid w:val="0C197EFD"/>
    <w:rsid w:val="0C886EAB"/>
    <w:rsid w:val="118F7958"/>
    <w:rsid w:val="153C0E2B"/>
    <w:rsid w:val="17600C4E"/>
    <w:rsid w:val="20315E0F"/>
    <w:rsid w:val="20792A83"/>
    <w:rsid w:val="21537630"/>
    <w:rsid w:val="283D0195"/>
    <w:rsid w:val="2D126E0D"/>
    <w:rsid w:val="2ED9699B"/>
    <w:rsid w:val="31473E7A"/>
    <w:rsid w:val="318E1295"/>
    <w:rsid w:val="364F21ED"/>
    <w:rsid w:val="372142C2"/>
    <w:rsid w:val="388A4CBC"/>
    <w:rsid w:val="3BF75330"/>
    <w:rsid w:val="4E2F67D9"/>
    <w:rsid w:val="50CD4459"/>
    <w:rsid w:val="540366B0"/>
    <w:rsid w:val="59186333"/>
    <w:rsid w:val="60DA1397"/>
    <w:rsid w:val="635D0996"/>
    <w:rsid w:val="65947816"/>
    <w:rsid w:val="671F2A18"/>
    <w:rsid w:val="6D876F5F"/>
    <w:rsid w:val="7A387F61"/>
    <w:rsid w:val="7F3F70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Hyperlink"/>
    <w:basedOn w:val="8"/>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Www.Ndeer.Com</Company>
  <Pages>6</Pages>
  <Words>2704</Words>
  <Characters>2833</Characters>
  <Lines>22</Lines>
  <Paragraphs>6</Paragraphs>
  <TotalTime>2</TotalTime>
  <ScaleCrop>false</ScaleCrop>
  <LinksUpToDate>false</LinksUpToDate>
  <CharactersWithSpaces>2848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2020-01-06T02:42:00Z</dcterms:created>
  <dc:creator>Administrator</dc:creator>
  <cp:lastModifiedBy>WPS_1652865715</cp:lastModifiedBy>
  <dcterms:modified xsi:type="dcterms:W3CDTF">2023-02-15T02:06:47Z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88C9F9DA849E46FCA024825035A0B913</vt:lpwstr>
  </property>
</Properties>
</file>