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95037">
      <w:pPr>
        <w:pStyle w:val="4"/>
        <w:spacing w:before="0" w:beforeAutospacing="0" w:after="0" w:afterAutospacing="0" w:line="600" w:lineRule="exact"/>
        <w:jc w:val="center"/>
        <w:rPr>
          <w:rFonts w:hint="eastAsia" w:ascii="方正小标宋简体" w:hAnsi="方正小标宋简体" w:eastAsia="方正小标宋简体" w:cs="方正小标宋简体"/>
          <w:color w:val="auto"/>
          <w:spacing w:val="10"/>
          <w:sz w:val="44"/>
          <w:szCs w:val="44"/>
        </w:rPr>
      </w:pPr>
      <w:r>
        <w:rPr>
          <w:rFonts w:hint="eastAsia" w:ascii="方正小标宋简体" w:hAnsi="方正小标宋简体" w:eastAsia="方正小标宋简体" w:cs="方正小标宋简体"/>
          <w:color w:val="auto"/>
          <w:spacing w:val="10"/>
          <w:sz w:val="44"/>
          <w:szCs w:val="44"/>
          <w:lang w:eastAsia="zh-CN"/>
        </w:rPr>
        <w:t>泰安市泰山区卫生健康局</w:t>
      </w:r>
      <w:r>
        <w:rPr>
          <w:rFonts w:hint="eastAsia" w:ascii="方正小标宋简体" w:hAnsi="方正小标宋简体" w:eastAsia="方正小标宋简体" w:cs="方正小标宋简体"/>
          <w:color w:val="auto"/>
          <w:spacing w:val="10"/>
          <w:sz w:val="44"/>
          <w:szCs w:val="44"/>
        </w:rPr>
        <w:t>202</w:t>
      </w:r>
      <w:r>
        <w:rPr>
          <w:rFonts w:hint="eastAsia" w:ascii="方正小标宋简体" w:hAnsi="方正小标宋简体" w:eastAsia="方正小标宋简体" w:cs="方正小标宋简体"/>
          <w:color w:val="auto"/>
          <w:spacing w:val="10"/>
          <w:sz w:val="44"/>
          <w:szCs w:val="44"/>
          <w:lang w:val="en-US" w:eastAsia="zh-CN"/>
        </w:rPr>
        <w:t>4</w:t>
      </w:r>
      <w:r>
        <w:rPr>
          <w:rFonts w:hint="eastAsia" w:ascii="方正小标宋简体" w:hAnsi="方正小标宋简体" w:eastAsia="方正小标宋简体" w:cs="方正小标宋简体"/>
          <w:color w:val="auto"/>
          <w:spacing w:val="10"/>
          <w:sz w:val="44"/>
          <w:szCs w:val="44"/>
        </w:rPr>
        <w:t>年政府</w:t>
      </w:r>
    </w:p>
    <w:p w14:paraId="7C3480ED">
      <w:pPr>
        <w:pStyle w:val="4"/>
        <w:spacing w:before="0" w:beforeAutospacing="0" w:after="0" w:afterAutospacing="0" w:line="600" w:lineRule="exact"/>
        <w:jc w:val="center"/>
        <w:rPr>
          <w:rFonts w:hint="eastAsia" w:ascii="方正小标宋简体" w:hAnsi="方正小标宋简体" w:eastAsia="方正小标宋简体" w:cs="方正小标宋简体"/>
          <w:color w:val="auto"/>
          <w:spacing w:val="10"/>
          <w:sz w:val="44"/>
          <w:szCs w:val="44"/>
        </w:rPr>
      </w:pPr>
      <w:r>
        <w:rPr>
          <w:rFonts w:hint="eastAsia" w:ascii="方正小标宋简体" w:hAnsi="方正小标宋简体" w:eastAsia="方正小标宋简体" w:cs="方正小标宋简体"/>
          <w:color w:val="auto"/>
          <w:spacing w:val="10"/>
          <w:sz w:val="44"/>
          <w:szCs w:val="44"/>
        </w:rPr>
        <w:t>信息公开工作年度报告</w:t>
      </w:r>
    </w:p>
    <w:p w14:paraId="150153C3">
      <w:pPr>
        <w:pStyle w:val="4"/>
        <w:spacing w:before="0" w:beforeAutospacing="0" w:after="0" w:afterAutospacing="0" w:line="600" w:lineRule="exact"/>
        <w:ind w:firstLine="880" w:firstLineChars="200"/>
        <w:jc w:val="both"/>
        <w:rPr>
          <w:rFonts w:ascii="Times New Roman" w:hAnsi="Times New Roman" w:eastAsia="方正小标宋简体"/>
          <w:sz w:val="44"/>
          <w:szCs w:val="44"/>
        </w:rPr>
      </w:pPr>
    </w:p>
    <w:p w14:paraId="5C20C407">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color w:val="auto"/>
          <w:sz w:val="32"/>
          <w:szCs w:val="32"/>
        </w:rPr>
        <w:t>根据《中华人民共和国政府信息公开条例》，特向社会公布202</w:t>
      </w:r>
      <w:r>
        <w:rPr>
          <w:rFonts w:hint="eastAsia" w:ascii="仿宋_GB2312" w:eastAsia="仿宋_GB2312"/>
          <w:color w:val="auto"/>
          <w:sz w:val="32"/>
          <w:szCs w:val="32"/>
          <w:lang w:val="en-US" w:eastAsia="zh-CN"/>
        </w:rPr>
        <w:t>4年</w:t>
      </w:r>
      <w:r>
        <w:rPr>
          <w:rFonts w:hint="eastAsia" w:ascii="仿宋_GB2312" w:eastAsia="仿宋_GB2312"/>
          <w:color w:val="auto"/>
          <w:sz w:val="32"/>
          <w:szCs w:val="32"/>
        </w:rPr>
        <w:t>本机关政府信息公开工作年度报告。</w:t>
      </w:r>
      <w:r>
        <w:rPr>
          <w:rFonts w:hint="eastAsia" w:ascii="仿宋_GB2312" w:hAnsi="仿宋_GB2312" w:eastAsia="仿宋_GB2312" w:cs="仿宋_GB2312"/>
          <w:sz w:val="32"/>
          <w:szCs w:val="32"/>
          <w:lang w:eastAsia="zh-CN"/>
        </w:rPr>
        <w:t>内容包括总体情况、主动公开政府信息情况、收到和处理政府信息公开申请情况、政府信息公开行政复议和行政诉讼情况、存在的主要问题及改进情况、其他需要报告的事项等六个部分。本年度报告中所列数据统计期限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年1月1日起至202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年12月31日止。</w:t>
      </w:r>
      <w:r>
        <w:rPr>
          <w:rFonts w:hint="eastAsia" w:ascii="仿宋_GB2312" w:eastAsia="仿宋_GB2312"/>
          <w:sz w:val="32"/>
          <w:szCs w:val="32"/>
        </w:rPr>
        <w:t>报告的电子版可泰山区政府网站下载，如对本报告有任何疑问，请与泰安市泰山区卫生健康局联系(邮编：271000；电话：0538-8224707；</w:t>
      </w:r>
      <w:r>
        <w:rPr>
          <w:rFonts w:hint="eastAsia" w:ascii="仿宋_GB2312" w:eastAsia="仿宋_GB2312"/>
          <w:sz w:val="32"/>
          <w:szCs w:val="32"/>
          <w:lang w:eastAsia="zh-CN"/>
        </w:rPr>
        <w:t>电</w:t>
      </w:r>
      <w:r>
        <w:rPr>
          <w:rFonts w:hint="eastAsia" w:ascii="仿宋_GB2312" w:eastAsia="仿宋_GB2312"/>
          <w:sz w:val="32"/>
          <w:szCs w:val="32"/>
        </w:rPr>
        <w:t>子邮箱：</w:t>
      </w: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"mailto:tsqwjjbgs@ta.shandong.cn）" </w:instrText>
      </w:r>
      <w:r>
        <w:rPr>
          <w:rFonts w:hint="eastAsia" w:ascii="仿宋_GB2312" w:eastAsia="仿宋_GB2312"/>
          <w:sz w:val="32"/>
          <w:szCs w:val="32"/>
        </w:rPr>
        <w:fldChar w:fldCharType="separate"/>
      </w:r>
      <w:r>
        <w:rPr>
          <w:rStyle w:val="7"/>
          <w:rFonts w:hint="eastAsia" w:ascii="仿宋_GB2312" w:eastAsia="仿宋_GB2312"/>
          <w:sz w:val="32"/>
          <w:szCs w:val="32"/>
        </w:rPr>
        <w:t>tsqwjjbgs@ta.shandong.cn）</w:t>
      </w:r>
      <w:r>
        <w:rPr>
          <w:rFonts w:hint="eastAsia" w:ascii="仿宋_GB2312" w:eastAsia="仿宋_GB2312"/>
          <w:sz w:val="32"/>
          <w:szCs w:val="32"/>
        </w:rPr>
        <w:fldChar w:fldCharType="end"/>
      </w:r>
      <w:r>
        <w:rPr>
          <w:rFonts w:hint="eastAsia" w:ascii="仿宋_GB2312" w:eastAsia="仿宋_GB2312"/>
          <w:sz w:val="32"/>
          <w:szCs w:val="32"/>
          <w:lang w:eastAsia="zh-CN"/>
        </w:rPr>
        <w:t>。</w:t>
      </w:r>
    </w:p>
    <w:p w14:paraId="698AC983">
      <w:pPr>
        <w:pStyle w:val="4"/>
        <w:numPr>
          <w:ilvl w:val="0"/>
          <w:numId w:val="0"/>
        </w:numPr>
        <w:spacing w:before="0" w:beforeAutospacing="0" w:after="0" w:afterAutospacing="0" w:line="600" w:lineRule="exact"/>
        <w:ind w:firstLine="643" w:firstLineChars="200"/>
        <w:jc w:val="left"/>
        <w:rPr>
          <w:rFonts w:hint="eastAsia" w:ascii="仿宋_GB2312" w:eastAsia="仿宋_GB2312"/>
          <w:b/>
          <w:bCs/>
          <w:sz w:val="32"/>
          <w:szCs w:val="32"/>
          <w:lang w:eastAsia="zh-CN"/>
        </w:rPr>
      </w:pPr>
      <w:r>
        <w:rPr>
          <w:rFonts w:hint="eastAsia" w:ascii="仿宋_GB2312" w:eastAsia="仿宋_GB2312"/>
          <w:b/>
          <w:bCs/>
          <w:sz w:val="32"/>
          <w:szCs w:val="32"/>
          <w:lang w:eastAsia="zh-CN"/>
        </w:rPr>
        <w:t>一、总体情况</w:t>
      </w:r>
    </w:p>
    <w:p w14:paraId="457598F9">
      <w:pPr>
        <w:pStyle w:val="2"/>
        <w:keepNext w:val="0"/>
        <w:keepLines w:val="0"/>
        <w:pageBreakBefore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2024年，泰山区卫健局坚持贯彻落实《中华人民共和国政府信息公开条例》要求，认真完成泰山区人民政府办公室《关于做好</w:t>
      </w:r>
      <w:r>
        <w:rPr>
          <w:rFonts w:hint="default" w:ascii="仿宋_GB2312" w:hAnsi="仿宋_GB2312" w:eastAsia="仿宋_GB2312" w:cs="仿宋_GB2312"/>
          <w:b w:val="0"/>
          <w:kern w:val="0"/>
          <w:sz w:val="32"/>
          <w:szCs w:val="32"/>
          <w:lang w:val="en-US" w:eastAsia="zh-CN" w:bidi="ar-SA"/>
        </w:rPr>
        <w:t>2024年泰山区政务公开重点工作的通知</w:t>
      </w:r>
      <w:r>
        <w:rPr>
          <w:rFonts w:hint="eastAsia" w:ascii="仿宋_GB2312" w:hAnsi="仿宋_GB2312" w:eastAsia="仿宋_GB2312" w:cs="仿宋_GB2312"/>
          <w:b w:val="0"/>
          <w:kern w:val="0"/>
          <w:sz w:val="32"/>
          <w:szCs w:val="32"/>
          <w:lang w:val="en-US" w:eastAsia="zh-CN" w:bidi="ar-SA"/>
        </w:rPr>
        <w:t>》、《关于做好2024年政府信息公开依申请工作的通知》等各项工作安排部署，不断加强组织领导，落实工作责任，明确各自的职责和工作措施。坚持稳中求进工作总基调，加强政务信息公开，突出公开重点，明确公开主体，完善公开制度，更好地发挥了以公开促落实的作用，做好信息公开前的保密审查工作，全面推进政府信息公开规范化管理。</w:t>
      </w:r>
    </w:p>
    <w:p w14:paraId="5537FE0F">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1.主动公开方面。2024年，区卫健局政务信息公开主要通过泰山区政府网站、卫生健康公众号等平台公开，公开内容共涉及基本医疗卫生信息、基本公共服务信息、行政执法等方面的内容，共</w:t>
      </w:r>
      <w:r>
        <w:rPr>
          <w:rFonts w:hint="eastAsia" w:ascii="仿宋_GB2312" w:hAnsi="仿宋_GB2312" w:eastAsia="仿宋_GB2312" w:cs="仿宋_GB2312"/>
          <w:sz w:val="32"/>
          <w:szCs w:val="32"/>
          <w:highlight w:val="none"/>
          <w:lang w:val="en-US" w:eastAsia="zh-CN"/>
        </w:rPr>
        <w:t>110</w:t>
      </w:r>
      <w:r>
        <w:rPr>
          <w:rFonts w:hint="eastAsia" w:ascii="仿宋_GB2312" w:hAnsi="仿宋_GB2312" w:eastAsia="仿宋_GB2312" w:cs="仿宋_GB2312"/>
          <w:sz w:val="32"/>
          <w:szCs w:val="32"/>
          <w:lang w:val="en-US" w:eastAsia="zh-CN"/>
        </w:rPr>
        <w:t>条具体信息。</w:t>
      </w:r>
    </w:p>
    <w:p w14:paraId="641995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highlight w:val="none"/>
          <w:lang w:val="en-US" w:eastAsia="zh-CN"/>
        </w:rPr>
        <w:t>依申请公开方面。2024年收到政府信息公开申请34</w:t>
      </w:r>
      <w:bookmarkStart w:id="10" w:name="_GoBack"/>
      <w:bookmarkEnd w:id="10"/>
      <w:r>
        <w:rPr>
          <w:rFonts w:hint="eastAsia" w:ascii="仿宋_GB2312" w:hAnsi="仿宋_GB2312" w:eastAsia="仿宋_GB2312" w:cs="仿宋_GB2312"/>
          <w:sz w:val="32"/>
          <w:szCs w:val="32"/>
          <w:highlight w:val="none"/>
          <w:lang w:val="en-US" w:eastAsia="zh-CN"/>
        </w:rPr>
        <w:t>条，</w:t>
      </w:r>
      <w:r>
        <w:rPr>
          <w:rFonts w:hint="eastAsia" w:ascii="仿宋_GB2312" w:hAnsi="仿宋_GB2312" w:eastAsia="仿宋_GB2312" w:cs="仿宋_GB2312"/>
          <w:color w:val="auto"/>
          <w:sz w:val="32"/>
          <w:szCs w:val="32"/>
          <w:highlight w:val="none"/>
          <w:lang w:val="en-US" w:eastAsia="zh-CN"/>
        </w:rPr>
        <w:t>主要涉及医患纠纷等方面，</w:t>
      </w:r>
      <w:r>
        <w:rPr>
          <w:rFonts w:hint="eastAsia" w:ascii="仿宋_GB2312" w:hAnsi="仿宋_GB2312" w:eastAsia="仿宋_GB2312" w:cs="仿宋_GB2312"/>
          <w:sz w:val="32"/>
          <w:szCs w:val="32"/>
        </w:rPr>
        <w:t>所有申请均在法定期限内予以答复，答复率为100%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rPr>
        <w:t>在办理过程中，始终坚持依法依规、严谨规范的原则，注重与申请人的沟通协调，积极做好解释说明工作，努力提升申请人满意度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全年没有发生因依申请公开工作提起行政复议、行政诉讼情况。全年未收取政府信息处理费</w:t>
      </w:r>
      <w:r>
        <w:rPr>
          <w:rFonts w:hint="eastAsia" w:ascii="仿宋_GB2312" w:hAnsi="仿宋_GB2312" w:eastAsia="仿宋_GB2312" w:cs="仿宋_GB2312"/>
          <w:sz w:val="32"/>
          <w:szCs w:val="32"/>
        </w:rPr>
        <w:t>。</w:t>
      </w:r>
    </w:p>
    <w:p w14:paraId="7B41E79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val="en-US" w:eastAsia="zh-CN"/>
        </w:rPr>
        <w:t>3.政府信息管理。</w:t>
      </w:r>
      <w:r>
        <w:rPr>
          <w:rFonts w:hint="eastAsia" w:ascii="仿宋_GB2312" w:hAnsi="仿宋_GB2312" w:eastAsia="仿宋_GB2312" w:cs="仿宋_GB2312"/>
          <w:sz w:val="32"/>
          <w:szCs w:val="32"/>
        </w:rPr>
        <w:t>不断完善政府信息管理机制，加强信息发布审核。严格执行信息发布</w:t>
      </w:r>
      <w:r>
        <w:rPr>
          <w:rFonts w:hint="eastAsia" w:ascii="仿宋_GB2312" w:hAnsi="仿宋_GB2312" w:eastAsia="仿宋_GB2312" w:cs="仿宋_GB2312"/>
          <w:sz w:val="32"/>
          <w:szCs w:val="32"/>
          <w:lang w:val="en-US" w:eastAsia="zh-CN"/>
        </w:rPr>
        <w:t>制度</w:t>
      </w:r>
      <w:r>
        <w:rPr>
          <w:rFonts w:hint="eastAsia" w:ascii="仿宋_GB2312" w:hAnsi="仿宋_GB2312" w:eastAsia="仿宋_GB2312" w:cs="仿宋_GB2312"/>
          <w:sz w:val="32"/>
          <w:szCs w:val="32"/>
        </w:rPr>
        <w:t>，明确审核流程和责任，确保信息内容准确、格式规范、发布及时。同时，定期对政府信息进行清理和更新，保障信息的时效性和有效性。</w:t>
      </w:r>
    </w:p>
    <w:p w14:paraId="012F775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4.政府信息公开平台建设。</w:t>
      </w:r>
      <w:r>
        <w:rPr>
          <w:rFonts w:hint="eastAsia" w:ascii="仿宋_GB2312" w:hAnsi="仿宋_GB2312" w:eastAsia="仿宋_GB2312" w:cs="仿宋_GB2312"/>
          <w:sz w:val="32"/>
          <w:szCs w:val="32"/>
        </w:rPr>
        <w:t>持续优化</w:t>
      </w:r>
      <w:r>
        <w:rPr>
          <w:rFonts w:hint="eastAsia" w:ascii="仿宋_GB2312" w:hAnsi="仿宋_GB2312" w:eastAsia="仿宋_GB2312" w:cs="仿宋_GB2312"/>
          <w:sz w:val="32"/>
          <w:szCs w:val="32"/>
          <w:lang w:eastAsia="zh-CN"/>
        </w:rPr>
        <w:t>公开内容、拓宽公开渠道</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区政府网站医疗卫生等专栏</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lang w:eastAsia="zh-CN" w:bidi="ar-SA"/>
        </w:rPr>
        <w:t>各医疗机构及时更新公众号信息，定期发布就诊信息和疾病预防、养生保健等科普知识。实现医疗健康信息高效传播、便捷服务居民，增强居民健康意识，提升区域健康服务水平。</w:t>
      </w:r>
    </w:p>
    <w:p w14:paraId="09DC3FA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lang w:val="en-US" w:eastAsia="zh-CN"/>
        </w:rPr>
        <w:t>5.监督保障。加强卫健系统联络员队伍建设，安排专人具体从事政府信息公开工作。组织全区医疗机构、基层医疗卫生机构、妇幼保健机构、疾病预防防控中心参与全区医疗卫生领域公共企事业单位信息公开工作培训。严格根据考核指标，落实考核要求，做好线上信息录入和现在各项工作的监督工作。畅通沟通渠道，主动接受群众监督。</w:t>
      </w:r>
    </w:p>
    <w:p w14:paraId="249AE6FE">
      <w:pPr>
        <w:pStyle w:val="4"/>
        <w:numPr>
          <w:ilvl w:val="0"/>
          <w:numId w:val="0"/>
        </w:numPr>
        <w:spacing w:before="0" w:beforeAutospacing="0" w:after="0" w:afterAutospacing="0" w:line="600" w:lineRule="exact"/>
        <w:ind w:firstLine="643" w:firstLineChars="200"/>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14:paraId="06B4CF7F">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86EE20E">
            <w:pPr>
              <w:widowControl/>
              <w:jc w:val="left"/>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715CF77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0A5C6A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19F2333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437ABCF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3248FEF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1C4047C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3B532D8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0682DF33">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1D74035A">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7EDB85AC">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3A9BC4A9">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AFFC50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2704BB3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5EBFC97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14:paraId="49A674F5">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lang w:val="en-US" w:eastAsia="zh-CN"/>
              </w:rPr>
              <w:t>0</w:t>
            </w:r>
          </w:p>
        </w:tc>
      </w:tr>
      <w:tr w14:paraId="25DECBCC">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FE9DD19">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157E6E2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DA2EEB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CF9652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706B564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C15695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AE71D66">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6E86BECB">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77A305B">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13AFA63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26447D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5A890F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53EC9D2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FF8C325">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2365AE1">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30</w:t>
            </w:r>
          </w:p>
        </w:tc>
      </w:tr>
      <w:tr w14:paraId="6BCE8440">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4AA8F8C">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932430E">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0041D83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58582A7">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0C449532">
        <w:tblPrEx>
          <w:tblCellMar>
            <w:top w:w="0" w:type="dxa"/>
            <w:left w:w="108" w:type="dxa"/>
            <w:bottom w:w="0" w:type="dxa"/>
            <w:right w:w="108" w:type="dxa"/>
          </w:tblCellMar>
        </w:tblPrEx>
        <w:trPr>
          <w:trHeight w:val="567" w:hRule="atLeast"/>
        </w:trPr>
        <w:tc>
          <w:tcPr>
            <w:tcW w:w="2206" w:type="dxa"/>
            <w:tcBorders>
              <w:top w:val="single" w:color="auto" w:sz="4" w:space="0"/>
              <w:left w:val="single" w:color="auto" w:sz="4" w:space="0"/>
              <w:bottom w:val="single" w:color="auto" w:sz="8" w:space="0"/>
              <w:right w:val="single" w:color="auto" w:sz="4" w:space="0"/>
            </w:tcBorders>
            <w:shd w:val="clear" w:color="auto" w:fill="auto"/>
            <w:vAlign w:val="center"/>
          </w:tcPr>
          <w:p w14:paraId="5BC001B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single" w:color="auto" w:sz="4" w:space="0"/>
              <w:bottom w:val="single" w:color="auto" w:sz="8" w:space="0"/>
              <w:right w:val="single" w:color="000000" w:sz="8" w:space="0"/>
            </w:tcBorders>
            <w:shd w:val="clear" w:color="auto" w:fill="auto"/>
            <w:vAlign w:val="center"/>
          </w:tcPr>
          <w:p w14:paraId="15FA419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0CDCFE4F">
        <w:tblPrEx>
          <w:tblCellMar>
            <w:top w:w="0" w:type="dxa"/>
            <w:left w:w="108" w:type="dxa"/>
            <w:bottom w:w="0" w:type="dxa"/>
            <w:right w:w="108" w:type="dxa"/>
          </w:tblCellMar>
        </w:tblPrEx>
        <w:trPr>
          <w:trHeight w:val="567" w:hRule="atLeast"/>
        </w:trPr>
        <w:tc>
          <w:tcPr>
            <w:tcW w:w="2206" w:type="dxa"/>
            <w:tcBorders>
              <w:top w:val="nil"/>
              <w:left w:val="single" w:color="auto" w:sz="4" w:space="0"/>
              <w:bottom w:val="single" w:color="auto" w:sz="4" w:space="0"/>
              <w:right w:val="single" w:color="auto" w:sz="4" w:space="0"/>
            </w:tcBorders>
            <w:shd w:val="clear" w:color="auto" w:fill="auto"/>
            <w:vAlign w:val="center"/>
          </w:tcPr>
          <w:p w14:paraId="0C342180">
            <w:pPr>
              <w:widowControl/>
              <w:jc w:val="left"/>
              <w:rPr>
                <w:rFonts w:ascii="仿宋_GB2312" w:hAnsi="宋体" w:eastAsia="仿宋_GB2312" w:cs="宋体"/>
                <w:color w:val="000000"/>
                <w:kern w:val="0"/>
                <w:szCs w:val="21"/>
                <w:u w:val="single"/>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single" w:color="auto" w:sz="4" w:space="0"/>
              <w:bottom w:val="single" w:color="auto" w:sz="8" w:space="0"/>
              <w:right w:val="single" w:color="000000" w:sz="8" w:space="0"/>
            </w:tcBorders>
            <w:shd w:val="clear" w:color="auto" w:fill="auto"/>
            <w:vAlign w:val="center"/>
          </w:tcPr>
          <w:p w14:paraId="00D78EB2">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4AC224F8">
      <w:pPr>
        <w:pStyle w:val="4"/>
        <w:numPr>
          <w:ilvl w:val="0"/>
          <w:numId w:val="0"/>
        </w:numPr>
        <w:spacing w:before="0" w:beforeAutospacing="0" w:after="0" w:afterAutospacing="0" w:line="600" w:lineRule="exact"/>
        <w:ind w:firstLine="643" w:firstLineChars="200"/>
        <w:jc w:val="left"/>
        <w:rPr>
          <w:rFonts w:hint="eastAsia" w:ascii="仿宋_GB2312" w:hAnsi="Calibri" w:eastAsia="仿宋_GB2312" w:cs="Times New Roman"/>
          <w:b/>
          <w:bCs/>
          <w:kern w:val="0"/>
          <w:sz w:val="32"/>
          <w:szCs w:val="32"/>
          <w:lang w:val="en-US" w:eastAsia="zh-CN" w:bidi="ar-SA"/>
        </w:rPr>
      </w:pPr>
      <w:r>
        <w:rPr>
          <w:rFonts w:hint="eastAsia" w:ascii="仿宋_GB2312" w:eastAsia="仿宋_GB2312" w:cs="Times New Roman"/>
          <w:b/>
          <w:bCs/>
          <w:kern w:val="0"/>
          <w:sz w:val="32"/>
          <w:szCs w:val="32"/>
          <w:lang w:val="en-US" w:eastAsia="zh-CN" w:bidi="ar-SA"/>
        </w:rPr>
        <w:t>三、</w:t>
      </w:r>
      <w:r>
        <w:rPr>
          <w:rFonts w:hint="eastAsia" w:ascii="仿宋_GB2312" w:hAnsi="Calibri" w:eastAsia="仿宋_GB2312" w:cs="Times New Roman"/>
          <w:b/>
          <w:bCs/>
          <w:kern w:val="0"/>
          <w:sz w:val="32"/>
          <w:szCs w:val="32"/>
          <w:lang w:val="en-US" w:eastAsia="zh-CN" w:bidi="ar-SA"/>
        </w:rPr>
        <w:t>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5150E3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41E78666">
            <w:pPr>
              <w:widowControl/>
              <w:jc w:val="left"/>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121EB28D">
            <w:pPr>
              <w:widowControl/>
              <w:jc w:val="left"/>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7B43B614">
            <w:pPr>
              <w:widowControl/>
              <w:spacing w:line="320" w:lineRule="exact"/>
              <w:jc w:val="left"/>
              <w:rPr>
                <w:rFonts w:ascii="黑体" w:hAnsi="黑体" w:eastAsia="黑体"/>
                <w:szCs w:val="21"/>
              </w:rPr>
            </w:pPr>
            <w:r>
              <w:rPr>
                <w:rFonts w:hint="eastAsia" w:ascii="黑体" w:hAnsi="黑体" w:eastAsia="黑体"/>
                <w:kern w:val="0"/>
                <w:szCs w:val="21"/>
              </w:rPr>
              <w:t>申请人情况</w:t>
            </w:r>
          </w:p>
        </w:tc>
      </w:tr>
      <w:tr w14:paraId="086D68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16DD21A9">
            <w:pPr>
              <w:jc w:val="left"/>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6416FA87">
            <w:pPr>
              <w:widowControl/>
              <w:jc w:val="left"/>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33A47AA8">
            <w:pPr>
              <w:widowControl/>
              <w:spacing w:line="320" w:lineRule="exact"/>
              <w:jc w:val="left"/>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3851194D">
            <w:pPr>
              <w:widowControl/>
              <w:jc w:val="left"/>
              <w:rPr>
                <w:rFonts w:ascii="黑体" w:hAnsi="黑体" w:eastAsia="黑体"/>
                <w:szCs w:val="21"/>
              </w:rPr>
            </w:pPr>
            <w:r>
              <w:rPr>
                <w:rFonts w:hint="eastAsia" w:ascii="黑体" w:hAnsi="黑体" w:eastAsia="黑体"/>
                <w:kern w:val="0"/>
                <w:szCs w:val="21"/>
              </w:rPr>
              <w:t>总计</w:t>
            </w:r>
          </w:p>
        </w:tc>
      </w:tr>
      <w:tr w14:paraId="54C5C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285009D1">
            <w:pPr>
              <w:jc w:val="left"/>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5AACC280">
            <w:pPr>
              <w:jc w:val="left"/>
              <w:rPr>
                <w:rFonts w:ascii="黑体" w:hAnsi="黑体" w:eastAsia="黑体"/>
                <w:szCs w:val="21"/>
              </w:rPr>
            </w:pPr>
          </w:p>
        </w:tc>
        <w:tc>
          <w:tcPr>
            <w:tcW w:w="567" w:type="dxa"/>
            <w:shd w:val="clear" w:color="auto" w:fill="auto"/>
            <w:tcMar>
              <w:left w:w="108" w:type="dxa"/>
              <w:right w:w="108" w:type="dxa"/>
            </w:tcMar>
            <w:vAlign w:val="center"/>
          </w:tcPr>
          <w:p w14:paraId="0392C217">
            <w:pPr>
              <w:widowControl/>
              <w:spacing w:line="320" w:lineRule="exact"/>
              <w:ind w:left="-106" w:leftChars="-51" w:right="-107" w:rightChars="-51" w:hanging="1"/>
              <w:jc w:val="left"/>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062AA432">
            <w:pPr>
              <w:widowControl/>
              <w:spacing w:line="320" w:lineRule="exact"/>
              <w:ind w:left="-107" w:leftChars="-51" w:right="-107" w:rightChars="-51"/>
              <w:jc w:val="left"/>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00D0D9F9">
            <w:pPr>
              <w:widowControl/>
              <w:spacing w:line="320" w:lineRule="exact"/>
              <w:ind w:left="-107" w:leftChars="-51" w:right="-107" w:rightChars="-51"/>
              <w:jc w:val="left"/>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0B4DB2CD">
            <w:pPr>
              <w:widowControl/>
              <w:spacing w:line="320" w:lineRule="exact"/>
              <w:ind w:left="-106" w:leftChars="-51" w:right="-107" w:rightChars="-51" w:hanging="1"/>
              <w:jc w:val="left"/>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24E83AD5">
            <w:pPr>
              <w:widowControl/>
              <w:spacing w:line="360" w:lineRule="exact"/>
              <w:ind w:left="-63" w:leftChars="-30" w:right="-134" w:rightChars="-64"/>
              <w:jc w:val="left"/>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2DEE2D82">
            <w:pPr>
              <w:jc w:val="left"/>
              <w:rPr>
                <w:rFonts w:ascii="仿宋_GB2312" w:hAnsi="Times New Roman" w:eastAsia="仿宋_GB2312"/>
                <w:szCs w:val="21"/>
              </w:rPr>
            </w:pPr>
          </w:p>
        </w:tc>
      </w:tr>
      <w:tr w14:paraId="790E06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0DD15700">
            <w:pPr>
              <w:widowControl/>
              <w:jc w:val="left"/>
              <w:rPr>
                <w:rFonts w:ascii="黑体" w:hAnsi="黑体" w:eastAsia="黑体"/>
                <w:color w:val="FF0000"/>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829" w:type="dxa"/>
            <w:shd w:val="clear" w:color="auto" w:fill="auto"/>
            <w:tcMar>
              <w:left w:w="108" w:type="dxa"/>
              <w:right w:w="108" w:type="dxa"/>
            </w:tcMar>
            <w:vAlign w:val="center"/>
          </w:tcPr>
          <w:p w14:paraId="493527B6">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34</w:t>
            </w:r>
          </w:p>
        </w:tc>
        <w:tc>
          <w:tcPr>
            <w:tcW w:w="567" w:type="dxa"/>
            <w:shd w:val="clear" w:color="auto" w:fill="auto"/>
            <w:tcMar>
              <w:left w:w="108" w:type="dxa"/>
              <w:right w:w="108" w:type="dxa"/>
            </w:tcMar>
            <w:vAlign w:val="center"/>
          </w:tcPr>
          <w:p w14:paraId="40C24CA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FEB98EB">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A6C641B">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F3BC60A">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D887798">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6373AD34">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34</w:t>
            </w:r>
          </w:p>
        </w:tc>
      </w:tr>
      <w:tr w14:paraId="72F8B7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38AB97C7">
            <w:pPr>
              <w:widowControl/>
              <w:jc w:val="left"/>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6D705F6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3B1088B">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7A80BE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D0A2D7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81A668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90F5C5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11A5A4F">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05223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7F1107C2">
            <w:pPr>
              <w:widowControl/>
              <w:spacing w:after="180"/>
              <w:jc w:val="left"/>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5361598B">
            <w:pPr>
              <w:widowControl/>
              <w:jc w:val="left"/>
              <w:rPr>
                <w:rFonts w:ascii="黑体" w:hAnsi="黑体" w:eastAsia="黑体"/>
                <w:color w:val="FF0000"/>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14:paraId="1A20CD3E">
            <w:pPr>
              <w:widowControl/>
              <w:spacing w:after="180"/>
              <w:jc w:val="center"/>
              <w:rPr>
                <w:rFonts w:hint="default" w:ascii="仿宋_GB2312" w:hAnsi="Times New Roman" w:eastAsia="仿宋_GB2312"/>
                <w:color w:val="FF0000"/>
                <w:szCs w:val="21"/>
                <w:lang w:val="en-US" w:eastAsia="zh-CN"/>
              </w:rPr>
            </w:pPr>
            <w:r>
              <w:rPr>
                <w:rFonts w:hint="eastAsia" w:ascii="仿宋_GB2312" w:hAnsi="Times New Roman" w:eastAsia="仿宋_GB2312"/>
                <w:color w:val="auto"/>
                <w:szCs w:val="21"/>
                <w:lang w:val="en-US" w:eastAsia="zh-CN"/>
              </w:rPr>
              <w:t>5</w:t>
            </w:r>
          </w:p>
        </w:tc>
        <w:tc>
          <w:tcPr>
            <w:tcW w:w="567" w:type="dxa"/>
            <w:shd w:val="clear" w:color="auto" w:fill="auto"/>
            <w:tcMar>
              <w:left w:w="108" w:type="dxa"/>
              <w:right w:w="108" w:type="dxa"/>
            </w:tcMar>
            <w:vAlign w:val="center"/>
          </w:tcPr>
          <w:p w14:paraId="7395AD8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0EA418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911A96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EBE58B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7203714">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0EF399B">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5</w:t>
            </w:r>
          </w:p>
        </w:tc>
      </w:tr>
      <w:tr w14:paraId="70EA59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3B232CC">
            <w:pPr>
              <w:jc w:val="left"/>
              <w:rPr>
                <w:rFonts w:ascii="黑体" w:hAnsi="黑体" w:eastAsia="黑体"/>
                <w:szCs w:val="21"/>
              </w:rPr>
            </w:pPr>
          </w:p>
        </w:tc>
        <w:tc>
          <w:tcPr>
            <w:tcW w:w="4677" w:type="dxa"/>
            <w:gridSpan w:val="2"/>
            <w:shd w:val="clear" w:color="auto" w:fill="auto"/>
            <w:tcMar>
              <w:left w:w="108" w:type="dxa"/>
              <w:right w:w="108" w:type="dxa"/>
            </w:tcMar>
            <w:vAlign w:val="center"/>
          </w:tcPr>
          <w:p w14:paraId="3BE49243">
            <w:pPr>
              <w:widowControl/>
              <w:jc w:val="left"/>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2C323F52">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039C62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FBBF43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96FB2D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871059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79810E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A40D800">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183626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05D4AC0">
            <w:pPr>
              <w:jc w:val="left"/>
              <w:rPr>
                <w:rFonts w:ascii="黑体" w:hAnsi="黑体" w:eastAsia="黑体"/>
                <w:szCs w:val="21"/>
              </w:rPr>
            </w:pPr>
          </w:p>
        </w:tc>
        <w:tc>
          <w:tcPr>
            <w:tcW w:w="1701" w:type="dxa"/>
            <w:vMerge w:val="restart"/>
            <w:shd w:val="clear" w:color="auto" w:fill="auto"/>
            <w:tcMar>
              <w:left w:w="108" w:type="dxa"/>
              <w:right w:w="108" w:type="dxa"/>
            </w:tcMar>
            <w:vAlign w:val="center"/>
          </w:tcPr>
          <w:p w14:paraId="11C18914">
            <w:pPr>
              <w:widowControl/>
              <w:spacing w:line="200" w:lineRule="exact"/>
              <w:ind w:left="-107" w:leftChars="-51"/>
              <w:jc w:val="left"/>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02341C8B">
            <w:pPr>
              <w:widowControl/>
              <w:spacing w:line="200" w:lineRule="exact"/>
              <w:jc w:val="lef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17B0913C">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F83ECB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E31086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7FA5B9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AD8DA1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763519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EE3FC1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12D909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07BAF4C">
            <w:pPr>
              <w:jc w:val="left"/>
              <w:rPr>
                <w:rFonts w:ascii="黑体" w:hAnsi="黑体" w:eastAsia="黑体"/>
                <w:szCs w:val="21"/>
              </w:rPr>
            </w:pPr>
          </w:p>
        </w:tc>
        <w:tc>
          <w:tcPr>
            <w:tcW w:w="1701" w:type="dxa"/>
            <w:vMerge w:val="continue"/>
            <w:shd w:val="clear" w:color="auto" w:fill="auto"/>
            <w:tcMar>
              <w:left w:w="108" w:type="dxa"/>
              <w:right w:w="108" w:type="dxa"/>
            </w:tcMar>
            <w:vAlign w:val="center"/>
          </w:tcPr>
          <w:p w14:paraId="2474B82B">
            <w:pPr>
              <w:spacing w:line="200" w:lineRule="exact"/>
              <w:jc w:val="left"/>
              <w:rPr>
                <w:rFonts w:ascii="黑体" w:hAnsi="黑体" w:eastAsia="黑体"/>
                <w:szCs w:val="21"/>
              </w:rPr>
            </w:pPr>
          </w:p>
        </w:tc>
        <w:tc>
          <w:tcPr>
            <w:tcW w:w="2976" w:type="dxa"/>
            <w:shd w:val="clear" w:color="auto" w:fill="auto"/>
            <w:tcMar>
              <w:left w:w="108" w:type="dxa"/>
              <w:right w:w="108" w:type="dxa"/>
            </w:tcMar>
            <w:vAlign w:val="center"/>
          </w:tcPr>
          <w:p w14:paraId="4724B069">
            <w:pPr>
              <w:widowControl/>
              <w:spacing w:line="200" w:lineRule="exact"/>
              <w:jc w:val="lef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5FC84E08">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C81521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87333D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58D018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668B07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23EAA9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FEEACB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3D040C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0D83925">
            <w:pPr>
              <w:jc w:val="left"/>
              <w:rPr>
                <w:rFonts w:ascii="黑体" w:hAnsi="黑体" w:eastAsia="黑体"/>
                <w:szCs w:val="21"/>
              </w:rPr>
            </w:pPr>
          </w:p>
        </w:tc>
        <w:tc>
          <w:tcPr>
            <w:tcW w:w="1701" w:type="dxa"/>
            <w:vMerge w:val="continue"/>
            <w:shd w:val="clear" w:color="auto" w:fill="auto"/>
            <w:tcMar>
              <w:left w:w="108" w:type="dxa"/>
              <w:right w:w="108" w:type="dxa"/>
            </w:tcMar>
            <w:vAlign w:val="center"/>
          </w:tcPr>
          <w:p w14:paraId="14E14DCF">
            <w:pPr>
              <w:spacing w:line="200" w:lineRule="exact"/>
              <w:jc w:val="left"/>
              <w:rPr>
                <w:rFonts w:ascii="黑体" w:hAnsi="黑体" w:eastAsia="黑体"/>
                <w:szCs w:val="21"/>
              </w:rPr>
            </w:pPr>
          </w:p>
        </w:tc>
        <w:tc>
          <w:tcPr>
            <w:tcW w:w="2976" w:type="dxa"/>
            <w:shd w:val="clear" w:color="auto" w:fill="auto"/>
            <w:tcMar>
              <w:left w:w="108" w:type="dxa"/>
              <w:right w:w="108" w:type="dxa"/>
            </w:tcMar>
            <w:vAlign w:val="center"/>
          </w:tcPr>
          <w:p w14:paraId="36D5A55E">
            <w:pPr>
              <w:widowControl/>
              <w:spacing w:line="200" w:lineRule="exact"/>
              <w:jc w:val="lef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18489C80">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2D6157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5475A2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EA573C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D32736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97AAFC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7DD5DD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7C4416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D264F67">
            <w:pPr>
              <w:jc w:val="left"/>
              <w:rPr>
                <w:rFonts w:ascii="黑体" w:hAnsi="黑体" w:eastAsia="黑体"/>
                <w:szCs w:val="21"/>
              </w:rPr>
            </w:pPr>
          </w:p>
        </w:tc>
        <w:tc>
          <w:tcPr>
            <w:tcW w:w="1701" w:type="dxa"/>
            <w:vMerge w:val="continue"/>
            <w:shd w:val="clear" w:color="auto" w:fill="auto"/>
            <w:tcMar>
              <w:left w:w="108" w:type="dxa"/>
              <w:right w:w="108" w:type="dxa"/>
            </w:tcMar>
            <w:vAlign w:val="center"/>
          </w:tcPr>
          <w:p w14:paraId="7802AB2E">
            <w:pPr>
              <w:spacing w:line="200" w:lineRule="exact"/>
              <w:jc w:val="left"/>
              <w:rPr>
                <w:rFonts w:ascii="黑体" w:hAnsi="黑体" w:eastAsia="黑体"/>
                <w:szCs w:val="21"/>
              </w:rPr>
            </w:pPr>
          </w:p>
        </w:tc>
        <w:tc>
          <w:tcPr>
            <w:tcW w:w="2976" w:type="dxa"/>
            <w:shd w:val="clear" w:color="auto" w:fill="auto"/>
            <w:tcMar>
              <w:left w:w="108" w:type="dxa"/>
              <w:right w:w="108" w:type="dxa"/>
            </w:tcMar>
            <w:vAlign w:val="center"/>
          </w:tcPr>
          <w:p w14:paraId="722B067D">
            <w:pPr>
              <w:widowControl/>
              <w:spacing w:line="200" w:lineRule="exact"/>
              <w:jc w:val="lef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2DBD22DA">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8</w:t>
            </w:r>
          </w:p>
        </w:tc>
        <w:tc>
          <w:tcPr>
            <w:tcW w:w="567" w:type="dxa"/>
            <w:shd w:val="clear" w:color="auto" w:fill="auto"/>
            <w:tcMar>
              <w:left w:w="108" w:type="dxa"/>
              <w:right w:w="108" w:type="dxa"/>
            </w:tcMar>
            <w:vAlign w:val="center"/>
          </w:tcPr>
          <w:p w14:paraId="16EBDCB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4AD7B6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B021EF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25D553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38FEDB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98A1189">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8</w:t>
            </w:r>
          </w:p>
        </w:tc>
      </w:tr>
      <w:tr w14:paraId="4F9720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95E4922">
            <w:pPr>
              <w:jc w:val="left"/>
              <w:rPr>
                <w:rFonts w:ascii="黑体" w:hAnsi="黑体" w:eastAsia="黑体"/>
                <w:szCs w:val="21"/>
              </w:rPr>
            </w:pPr>
          </w:p>
        </w:tc>
        <w:tc>
          <w:tcPr>
            <w:tcW w:w="1701" w:type="dxa"/>
            <w:vMerge w:val="continue"/>
            <w:shd w:val="clear" w:color="auto" w:fill="auto"/>
            <w:tcMar>
              <w:left w:w="108" w:type="dxa"/>
              <w:right w:w="108" w:type="dxa"/>
            </w:tcMar>
            <w:vAlign w:val="center"/>
          </w:tcPr>
          <w:p w14:paraId="7A75866D">
            <w:pPr>
              <w:spacing w:line="200" w:lineRule="exact"/>
              <w:jc w:val="left"/>
              <w:rPr>
                <w:rFonts w:ascii="黑体" w:hAnsi="黑体" w:eastAsia="黑体"/>
                <w:szCs w:val="21"/>
              </w:rPr>
            </w:pPr>
          </w:p>
        </w:tc>
        <w:tc>
          <w:tcPr>
            <w:tcW w:w="2976" w:type="dxa"/>
            <w:shd w:val="clear" w:color="auto" w:fill="auto"/>
            <w:tcMar>
              <w:left w:w="108" w:type="dxa"/>
              <w:right w:w="108" w:type="dxa"/>
            </w:tcMar>
            <w:vAlign w:val="center"/>
          </w:tcPr>
          <w:p w14:paraId="41FA4B07">
            <w:pPr>
              <w:widowControl/>
              <w:spacing w:line="200" w:lineRule="exact"/>
              <w:jc w:val="lef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653C0B98">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19F14D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810825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5054A1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746EBA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5D798C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B10459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4B2EE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CFC7316">
            <w:pPr>
              <w:jc w:val="left"/>
              <w:rPr>
                <w:rFonts w:ascii="黑体" w:hAnsi="黑体" w:eastAsia="黑体"/>
                <w:szCs w:val="21"/>
              </w:rPr>
            </w:pPr>
          </w:p>
        </w:tc>
        <w:tc>
          <w:tcPr>
            <w:tcW w:w="1701" w:type="dxa"/>
            <w:vMerge w:val="continue"/>
            <w:shd w:val="clear" w:color="auto" w:fill="auto"/>
            <w:tcMar>
              <w:left w:w="108" w:type="dxa"/>
              <w:right w:w="108" w:type="dxa"/>
            </w:tcMar>
            <w:vAlign w:val="center"/>
          </w:tcPr>
          <w:p w14:paraId="7F6A0460">
            <w:pPr>
              <w:spacing w:line="200" w:lineRule="exact"/>
              <w:jc w:val="left"/>
              <w:rPr>
                <w:rFonts w:ascii="黑体" w:hAnsi="黑体" w:eastAsia="黑体"/>
                <w:szCs w:val="21"/>
              </w:rPr>
            </w:pPr>
          </w:p>
        </w:tc>
        <w:tc>
          <w:tcPr>
            <w:tcW w:w="2976" w:type="dxa"/>
            <w:shd w:val="clear" w:color="auto" w:fill="auto"/>
            <w:tcMar>
              <w:left w:w="108" w:type="dxa"/>
              <w:right w:w="108" w:type="dxa"/>
            </w:tcMar>
            <w:vAlign w:val="center"/>
          </w:tcPr>
          <w:p w14:paraId="6E4CED95">
            <w:pPr>
              <w:widowControl/>
              <w:spacing w:line="200" w:lineRule="exact"/>
              <w:jc w:val="lef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21FF66D3">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F69A5E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669EFD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2D27BA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0A05D1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53D498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F7B82B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2AFDD7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DDDF145">
            <w:pPr>
              <w:jc w:val="left"/>
              <w:rPr>
                <w:rFonts w:ascii="黑体" w:hAnsi="黑体" w:eastAsia="黑体"/>
                <w:szCs w:val="21"/>
              </w:rPr>
            </w:pPr>
          </w:p>
        </w:tc>
        <w:tc>
          <w:tcPr>
            <w:tcW w:w="1701" w:type="dxa"/>
            <w:vMerge w:val="continue"/>
            <w:shd w:val="clear" w:color="auto" w:fill="auto"/>
            <w:tcMar>
              <w:left w:w="108" w:type="dxa"/>
              <w:right w:w="108" w:type="dxa"/>
            </w:tcMar>
            <w:vAlign w:val="center"/>
          </w:tcPr>
          <w:p w14:paraId="761C4D21">
            <w:pPr>
              <w:spacing w:line="200" w:lineRule="exact"/>
              <w:jc w:val="left"/>
              <w:rPr>
                <w:rFonts w:ascii="黑体" w:hAnsi="黑体" w:eastAsia="黑体"/>
                <w:szCs w:val="21"/>
              </w:rPr>
            </w:pPr>
          </w:p>
        </w:tc>
        <w:tc>
          <w:tcPr>
            <w:tcW w:w="2976" w:type="dxa"/>
            <w:shd w:val="clear" w:color="auto" w:fill="auto"/>
            <w:tcMar>
              <w:left w:w="108" w:type="dxa"/>
              <w:right w:w="108" w:type="dxa"/>
            </w:tcMar>
            <w:vAlign w:val="center"/>
          </w:tcPr>
          <w:p w14:paraId="70148320">
            <w:pPr>
              <w:widowControl/>
              <w:spacing w:line="200" w:lineRule="exact"/>
              <w:jc w:val="lef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07D67365">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188C51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FD2870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92B8F2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2E749C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840AF0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94A486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5B0A62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B8D071E">
            <w:pPr>
              <w:jc w:val="left"/>
              <w:rPr>
                <w:rFonts w:ascii="黑体" w:hAnsi="黑体" w:eastAsia="黑体"/>
                <w:szCs w:val="21"/>
              </w:rPr>
            </w:pPr>
          </w:p>
        </w:tc>
        <w:tc>
          <w:tcPr>
            <w:tcW w:w="1701" w:type="dxa"/>
            <w:vMerge w:val="continue"/>
            <w:shd w:val="clear" w:color="auto" w:fill="auto"/>
            <w:tcMar>
              <w:left w:w="108" w:type="dxa"/>
              <w:right w:w="108" w:type="dxa"/>
            </w:tcMar>
            <w:vAlign w:val="center"/>
          </w:tcPr>
          <w:p w14:paraId="1D708D8D">
            <w:pPr>
              <w:spacing w:line="200" w:lineRule="exact"/>
              <w:jc w:val="left"/>
              <w:rPr>
                <w:rFonts w:ascii="黑体" w:hAnsi="黑体" w:eastAsia="黑体"/>
                <w:szCs w:val="21"/>
              </w:rPr>
            </w:pPr>
          </w:p>
        </w:tc>
        <w:tc>
          <w:tcPr>
            <w:tcW w:w="2976" w:type="dxa"/>
            <w:shd w:val="clear" w:color="auto" w:fill="auto"/>
            <w:tcMar>
              <w:left w:w="108" w:type="dxa"/>
              <w:right w:w="108" w:type="dxa"/>
            </w:tcMar>
            <w:vAlign w:val="center"/>
          </w:tcPr>
          <w:p w14:paraId="7ECFED6F">
            <w:pPr>
              <w:widowControl/>
              <w:spacing w:line="200" w:lineRule="exact"/>
              <w:jc w:val="lef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51608DC5">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6D9894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39D471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CACAA6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605EDC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3C0D2B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411D5B1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68B5A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BCD6B06">
            <w:pPr>
              <w:jc w:val="left"/>
              <w:rPr>
                <w:rFonts w:ascii="黑体" w:hAnsi="黑体" w:eastAsia="黑体"/>
                <w:szCs w:val="21"/>
              </w:rPr>
            </w:pPr>
          </w:p>
        </w:tc>
        <w:tc>
          <w:tcPr>
            <w:tcW w:w="1701" w:type="dxa"/>
            <w:vMerge w:val="restart"/>
            <w:shd w:val="clear" w:color="auto" w:fill="auto"/>
            <w:tcMar>
              <w:left w:w="108" w:type="dxa"/>
              <w:right w:w="108" w:type="dxa"/>
            </w:tcMar>
            <w:vAlign w:val="center"/>
          </w:tcPr>
          <w:p w14:paraId="30412B99">
            <w:pPr>
              <w:widowControl/>
              <w:spacing w:line="200" w:lineRule="exact"/>
              <w:ind w:left="-107" w:leftChars="-51"/>
              <w:jc w:val="left"/>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29F5B74D">
            <w:pPr>
              <w:widowControl/>
              <w:spacing w:line="200" w:lineRule="exact"/>
              <w:jc w:val="lef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1C7534CC">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21</w:t>
            </w:r>
          </w:p>
        </w:tc>
        <w:tc>
          <w:tcPr>
            <w:tcW w:w="567" w:type="dxa"/>
            <w:shd w:val="clear" w:color="auto" w:fill="auto"/>
            <w:tcMar>
              <w:left w:w="108" w:type="dxa"/>
              <w:right w:w="108" w:type="dxa"/>
            </w:tcMar>
            <w:vAlign w:val="center"/>
          </w:tcPr>
          <w:p w14:paraId="0ACDF1B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469E21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8CB706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A91BB4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A2188B5">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9D6B609">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21</w:t>
            </w:r>
          </w:p>
        </w:tc>
      </w:tr>
      <w:tr w14:paraId="7FC28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7D2255A">
            <w:pPr>
              <w:jc w:val="left"/>
              <w:rPr>
                <w:rFonts w:ascii="黑体" w:hAnsi="黑体" w:eastAsia="黑体"/>
                <w:szCs w:val="21"/>
              </w:rPr>
            </w:pPr>
          </w:p>
        </w:tc>
        <w:tc>
          <w:tcPr>
            <w:tcW w:w="1701" w:type="dxa"/>
            <w:vMerge w:val="continue"/>
            <w:shd w:val="clear" w:color="auto" w:fill="auto"/>
            <w:tcMar>
              <w:left w:w="108" w:type="dxa"/>
              <w:right w:w="108" w:type="dxa"/>
            </w:tcMar>
            <w:vAlign w:val="center"/>
          </w:tcPr>
          <w:p w14:paraId="28A6B751">
            <w:pPr>
              <w:spacing w:line="200" w:lineRule="exact"/>
              <w:ind w:left="-107" w:leftChars="-51"/>
              <w:jc w:val="left"/>
              <w:rPr>
                <w:rFonts w:ascii="黑体" w:hAnsi="黑体" w:eastAsia="黑体"/>
                <w:szCs w:val="21"/>
              </w:rPr>
            </w:pPr>
          </w:p>
        </w:tc>
        <w:tc>
          <w:tcPr>
            <w:tcW w:w="2976" w:type="dxa"/>
            <w:shd w:val="clear" w:color="auto" w:fill="auto"/>
            <w:tcMar>
              <w:left w:w="108" w:type="dxa"/>
              <w:right w:w="108" w:type="dxa"/>
            </w:tcMar>
            <w:vAlign w:val="center"/>
          </w:tcPr>
          <w:p w14:paraId="762C2D43">
            <w:pPr>
              <w:widowControl/>
              <w:spacing w:line="200" w:lineRule="exact"/>
              <w:jc w:val="lef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75B450BF">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80BA4E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6A9B44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4207BEC">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466154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68EF97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824F03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5BE5BF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3323167">
            <w:pPr>
              <w:jc w:val="left"/>
              <w:rPr>
                <w:rFonts w:ascii="黑体" w:hAnsi="黑体" w:eastAsia="黑体"/>
                <w:szCs w:val="21"/>
              </w:rPr>
            </w:pPr>
          </w:p>
        </w:tc>
        <w:tc>
          <w:tcPr>
            <w:tcW w:w="1701" w:type="dxa"/>
            <w:vMerge w:val="continue"/>
            <w:shd w:val="clear" w:color="auto" w:fill="auto"/>
            <w:tcMar>
              <w:left w:w="108" w:type="dxa"/>
              <w:right w:w="108" w:type="dxa"/>
            </w:tcMar>
            <w:vAlign w:val="center"/>
          </w:tcPr>
          <w:p w14:paraId="641AC34D">
            <w:pPr>
              <w:spacing w:line="200" w:lineRule="exact"/>
              <w:ind w:left="-107" w:leftChars="-51"/>
              <w:jc w:val="left"/>
              <w:rPr>
                <w:rFonts w:ascii="黑体" w:hAnsi="黑体" w:eastAsia="黑体"/>
                <w:szCs w:val="21"/>
              </w:rPr>
            </w:pPr>
          </w:p>
        </w:tc>
        <w:tc>
          <w:tcPr>
            <w:tcW w:w="2976" w:type="dxa"/>
            <w:shd w:val="clear" w:color="auto" w:fill="auto"/>
            <w:tcMar>
              <w:left w:w="108" w:type="dxa"/>
              <w:right w:w="108" w:type="dxa"/>
            </w:tcMar>
            <w:vAlign w:val="center"/>
          </w:tcPr>
          <w:p w14:paraId="5A203F11">
            <w:pPr>
              <w:widowControl/>
              <w:spacing w:line="200" w:lineRule="exact"/>
              <w:jc w:val="lef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4BBCD751">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F2EB8D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181891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4B63DD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A48ABA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B1E347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E03886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2EE4EE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FC40B0">
            <w:pPr>
              <w:jc w:val="left"/>
              <w:rPr>
                <w:rFonts w:ascii="黑体" w:hAnsi="黑体" w:eastAsia="黑体"/>
                <w:szCs w:val="21"/>
              </w:rPr>
            </w:pPr>
          </w:p>
        </w:tc>
        <w:tc>
          <w:tcPr>
            <w:tcW w:w="1701" w:type="dxa"/>
            <w:vMerge w:val="restart"/>
            <w:shd w:val="clear" w:color="auto" w:fill="auto"/>
            <w:tcMar>
              <w:left w:w="108" w:type="dxa"/>
              <w:right w:w="108" w:type="dxa"/>
            </w:tcMar>
            <w:vAlign w:val="center"/>
          </w:tcPr>
          <w:p w14:paraId="4E518C78">
            <w:pPr>
              <w:widowControl/>
              <w:spacing w:line="200" w:lineRule="exact"/>
              <w:ind w:left="-107" w:leftChars="-51"/>
              <w:jc w:val="left"/>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2CEC4D39">
            <w:pPr>
              <w:widowControl/>
              <w:spacing w:line="200" w:lineRule="exact"/>
              <w:jc w:val="lef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0D1C39A1">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CB795E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A931697">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C1929C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9880BF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0C0E68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D1B700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394D0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6666A83">
            <w:pPr>
              <w:jc w:val="left"/>
              <w:rPr>
                <w:rFonts w:ascii="黑体" w:hAnsi="黑体" w:eastAsia="黑体"/>
                <w:szCs w:val="21"/>
              </w:rPr>
            </w:pPr>
          </w:p>
        </w:tc>
        <w:tc>
          <w:tcPr>
            <w:tcW w:w="1701" w:type="dxa"/>
            <w:vMerge w:val="continue"/>
            <w:shd w:val="clear" w:color="auto" w:fill="auto"/>
            <w:tcMar>
              <w:left w:w="108" w:type="dxa"/>
              <w:right w:w="108" w:type="dxa"/>
            </w:tcMar>
            <w:vAlign w:val="center"/>
          </w:tcPr>
          <w:p w14:paraId="6B7DBBC7">
            <w:pPr>
              <w:spacing w:line="200" w:lineRule="exact"/>
              <w:jc w:val="left"/>
              <w:rPr>
                <w:rFonts w:ascii="黑体" w:hAnsi="黑体" w:eastAsia="黑体"/>
                <w:szCs w:val="21"/>
              </w:rPr>
            </w:pPr>
          </w:p>
        </w:tc>
        <w:tc>
          <w:tcPr>
            <w:tcW w:w="2976" w:type="dxa"/>
            <w:shd w:val="clear" w:color="auto" w:fill="auto"/>
            <w:tcMar>
              <w:left w:w="108" w:type="dxa"/>
              <w:right w:w="108" w:type="dxa"/>
            </w:tcMar>
            <w:vAlign w:val="center"/>
          </w:tcPr>
          <w:p w14:paraId="746729EF">
            <w:pPr>
              <w:widowControl/>
              <w:spacing w:line="200" w:lineRule="exact"/>
              <w:jc w:val="lef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3A7AB072">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5A1011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E0D8C4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B905A0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3C2C614">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DE1CC0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74D027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1F87F0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734651E">
            <w:pPr>
              <w:jc w:val="left"/>
              <w:rPr>
                <w:rFonts w:ascii="黑体" w:hAnsi="黑体" w:eastAsia="黑体"/>
                <w:szCs w:val="21"/>
              </w:rPr>
            </w:pPr>
          </w:p>
        </w:tc>
        <w:tc>
          <w:tcPr>
            <w:tcW w:w="1701" w:type="dxa"/>
            <w:vMerge w:val="continue"/>
            <w:shd w:val="clear" w:color="auto" w:fill="auto"/>
            <w:tcMar>
              <w:left w:w="108" w:type="dxa"/>
              <w:right w:w="108" w:type="dxa"/>
            </w:tcMar>
            <w:vAlign w:val="center"/>
          </w:tcPr>
          <w:p w14:paraId="6642E1CB">
            <w:pPr>
              <w:spacing w:line="200" w:lineRule="exact"/>
              <w:jc w:val="left"/>
              <w:rPr>
                <w:rFonts w:ascii="黑体" w:hAnsi="黑体" w:eastAsia="黑体"/>
                <w:szCs w:val="21"/>
              </w:rPr>
            </w:pPr>
          </w:p>
        </w:tc>
        <w:tc>
          <w:tcPr>
            <w:tcW w:w="2976" w:type="dxa"/>
            <w:shd w:val="clear" w:color="auto" w:fill="auto"/>
            <w:tcMar>
              <w:left w:w="108" w:type="dxa"/>
              <w:right w:w="108" w:type="dxa"/>
            </w:tcMar>
            <w:vAlign w:val="center"/>
          </w:tcPr>
          <w:p w14:paraId="4B37AF97">
            <w:pPr>
              <w:widowControl/>
              <w:spacing w:line="200" w:lineRule="exact"/>
              <w:jc w:val="lef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2F08C446">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C2D65F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A127B5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0B88CE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FBA4CC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8F0088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6CA3687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34A109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7D572C83">
            <w:pPr>
              <w:jc w:val="left"/>
              <w:rPr>
                <w:rFonts w:ascii="黑体" w:hAnsi="黑体" w:eastAsia="黑体"/>
                <w:szCs w:val="21"/>
              </w:rPr>
            </w:pPr>
          </w:p>
        </w:tc>
        <w:tc>
          <w:tcPr>
            <w:tcW w:w="1701" w:type="dxa"/>
            <w:vMerge w:val="continue"/>
            <w:shd w:val="clear" w:color="auto" w:fill="auto"/>
            <w:tcMar>
              <w:left w:w="108" w:type="dxa"/>
              <w:right w:w="108" w:type="dxa"/>
            </w:tcMar>
            <w:vAlign w:val="center"/>
          </w:tcPr>
          <w:p w14:paraId="6FBEC95C">
            <w:pPr>
              <w:spacing w:line="200" w:lineRule="exact"/>
              <w:jc w:val="left"/>
              <w:rPr>
                <w:rFonts w:ascii="黑体" w:hAnsi="黑体" w:eastAsia="黑体"/>
                <w:szCs w:val="21"/>
              </w:rPr>
            </w:pPr>
          </w:p>
        </w:tc>
        <w:tc>
          <w:tcPr>
            <w:tcW w:w="2976" w:type="dxa"/>
            <w:shd w:val="clear" w:color="auto" w:fill="auto"/>
            <w:tcMar>
              <w:left w:w="108" w:type="dxa"/>
              <w:right w:w="108" w:type="dxa"/>
            </w:tcMar>
            <w:vAlign w:val="center"/>
          </w:tcPr>
          <w:p w14:paraId="66DE6C66">
            <w:pPr>
              <w:widowControl/>
              <w:spacing w:line="200" w:lineRule="exact"/>
              <w:jc w:val="lef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67CB364B">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38289B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3D1D2D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EFACE2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5CCAA6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C9BF1F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429857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2DE298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FABA861">
            <w:pPr>
              <w:jc w:val="left"/>
              <w:rPr>
                <w:rFonts w:ascii="黑体" w:hAnsi="黑体" w:eastAsia="黑体"/>
                <w:szCs w:val="21"/>
              </w:rPr>
            </w:pPr>
          </w:p>
        </w:tc>
        <w:tc>
          <w:tcPr>
            <w:tcW w:w="1701" w:type="dxa"/>
            <w:vMerge w:val="continue"/>
            <w:shd w:val="clear" w:color="auto" w:fill="auto"/>
            <w:tcMar>
              <w:left w:w="108" w:type="dxa"/>
              <w:right w:w="108" w:type="dxa"/>
            </w:tcMar>
            <w:vAlign w:val="center"/>
          </w:tcPr>
          <w:p w14:paraId="48D2A236">
            <w:pPr>
              <w:spacing w:line="200" w:lineRule="exact"/>
              <w:jc w:val="left"/>
              <w:rPr>
                <w:rFonts w:ascii="黑体" w:hAnsi="黑体" w:eastAsia="黑体"/>
                <w:szCs w:val="21"/>
              </w:rPr>
            </w:pPr>
          </w:p>
        </w:tc>
        <w:tc>
          <w:tcPr>
            <w:tcW w:w="2976" w:type="dxa"/>
            <w:shd w:val="clear" w:color="auto" w:fill="auto"/>
            <w:tcMar>
              <w:left w:w="108" w:type="dxa"/>
              <w:right w:w="108" w:type="dxa"/>
            </w:tcMar>
            <w:vAlign w:val="center"/>
          </w:tcPr>
          <w:p w14:paraId="5AB408F1">
            <w:pPr>
              <w:widowControl/>
              <w:spacing w:line="300" w:lineRule="exact"/>
              <w:jc w:val="left"/>
              <w:rPr>
                <w:rFonts w:ascii="仿宋_GB2312" w:hAnsi="黑体" w:eastAsia="仿宋_GB2312"/>
                <w:kern w:val="0"/>
                <w:szCs w:val="21"/>
              </w:rPr>
            </w:pPr>
            <w:r>
              <w:rPr>
                <w:rFonts w:hint="eastAsia" w:ascii="仿宋_GB2312" w:hAnsi="黑体" w:eastAsia="仿宋_GB2312"/>
                <w:kern w:val="0"/>
                <w:szCs w:val="21"/>
              </w:rPr>
              <w:t>5.要求行政机关确认或重新</w:t>
            </w:r>
          </w:p>
          <w:p w14:paraId="568B6328">
            <w:pPr>
              <w:widowControl/>
              <w:spacing w:line="300" w:lineRule="exact"/>
              <w:ind w:firstLine="210" w:firstLineChars="100"/>
              <w:jc w:val="left"/>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4A2B4DA6">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FAB021E">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513106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A88AD9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9B722E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C71F4A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F9756B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6C8BC3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618CFC74">
            <w:pPr>
              <w:jc w:val="left"/>
              <w:rPr>
                <w:rFonts w:ascii="黑体" w:hAnsi="黑体" w:eastAsia="黑体"/>
                <w:szCs w:val="21"/>
              </w:rPr>
            </w:pPr>
          </w:p>
        </w:tc>
        <w:tc>
          <w:tcPr>
            <w:tcW w:w="1701" w:type="dxa"/>
            <w:vMerge w:val="restart"/>
            <w:shd w:val="clear" w:color="auto" w:fill="auto"/>
            <w:tcMar>
              <w:left w:w="108" w:type="dxa"/>
              <w:right w:w="108" w:type="dxa"/>
            </w:tcMar>
            <w:vAlign w:val="center"/>
          </w:tcPr>
          <w:p w14:paraId="27A764C1">
            <w:pPr>
              <w:widowControl/>
              <w:spacing w:line="300" w:lineRule="exact"/>
              <w:jc w:val="lef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0037EB1C">
            <w:pPr>
              <w:widowControl/>
              <w:spacing w:line="300" w:lineRule="exact"/>
              <w:jc w:val="lef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44B3DC43">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106987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35332D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CF0FE5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7A6E45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8F1C7C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9A77C6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222A5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31465DF">
            <w:pPr>
              <w:jc w:val="left"/>
              <w:rPr>
                <w:rFonts w:ascii="黑体" w:hAnsi="黑体" w:eastAsia="黑体"/>
                <w:szCs w:val="21"/>
              </w:rPr>
            </w:pPr>
          </w:p>
        </w:tc>
        <w:tc>
          <w:tcPr>
            <w:tcW w:w="1701" w:type="dxa"/>
            <w:vMerge w:val="continue"/>
            <w:shd w:val="clear" w:color="auto" w:fill="auto"/>
            <w:tcMar>
              <w:left w:w="108" w:type="dxa"/>
              <w:right w:w="108" w:type="dxa"/>
            </w:tcMar>
            <w:vAlign w:val="center"/>
          </w:tcPr>
          <w:p w14:paraId="10C6D08F">
            <w:pPr>
              <w:widowControl/>
              <w:spacing w:line="300" w:lineRule="exact"/>
              <w:jc w:val="left"/>
              <w:rPr>
                <w:rFonts w:ascii="黑体" w:hAnsi="黑体" w:eastAsia="黑体"/>
                <w:kern w:val="0"/>
                <w:szCs w:val="21"/>
              </w:rPr>
            </w:pPr>
          </w:p>
        </w:tc>
        <w:tc>
          <w:tcPr>
            <w:tcW w:w="2976" w:type="dxa"/>
            <w:shd w:val="clear" w:color="auto" w:fill="auto"/>
            <w:vAlign w:val="center"/>
          </w:tcPr>
          <w:p w14:paraId="42EEAE48">
            <w:pPr>
              <w:widowControl/>
              <w:spacing w:line="300" w:lineRule="exact"/>
              <w:jc w:val="lef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738E73E3">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2A10985">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883440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35C6BD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99614A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120C63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4E6A8FD0">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15C9FC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34A6DD6">
            <w:pPr>
              <w:jc w:val="left"/>
              <w:rPr>
                <w:rFonts w:ascii="黑体" w:hAnsi="黑体" w:eastAsia="黑体"/>
                <w:szCs w:val="21"/>
              </w:rPr>
            </w:pPr>
          </w:p>
        </w:tc>
        <w:tc>
          <w:tcPr>
            <w:tcW w:w="1701" w:type="dxa"/>
            <w:vMerge w:val="continue"/>
            <w:shd w:val="clear" w:color="auto" w:fill="auto"/>
            <w:tcMar>
              <w:left w:w="108" w:type="dxa"/>
              <w:right w:w="108" w:type="dxa"/>
            </w:tcMar>
            <w:vAlign w:val="center"/>
          </w:tcPr>
          <w:p w14:paraId="31FAAE51">
            <w:pPr>
              <w:widowControl/>
              <w:spacing w:line="300" w:lineRule="exact"/>
              <w:jc w:val="left"/>
              <w:rPr>
                <w:rFonts w:ascii="黑体" w:hAnsi="黑体" w:eastAsia="黑体"/>
                <w:kern w:val="0"/>
                <w:szCs w:val="21"/>
              </w:rPr>
            </w:pPr>
          </w:p>
        </w:tc>
        <w:tc>
          <w:tcPr>
            <w:tcW w:w="2976" w:type="dxa"/>
            <w:shd w:val="clear" w:color="auto" w:fill="auto"/>
            <w:vAlign w:val="center"/>
          </w:tcPr>
          <w:p w14:paraId="30C5FDBD">
            <w:pPr>
              <w:widowControl/>
              <w:spacing w:line="300" w:lineRule="exact"/>
              <w:jc w:val="lef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50F20754">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42035A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DBD063C">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1F5515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F26C56F">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66ABC49">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FF5763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14:paraId="39DD19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416" w:type="dxa"/>
            <w:vMerge w:val="continue"/>
            <w:shd w:val="clear" w:color="auto" w:fill="auto"/>
            <w:tcMar>
              <w:left w:w="108" w:type="dxa"/>
              <w:right w:w="108" w:type="dxa"/>
            </w:tcMar>
            <w:vAlign w:val="center"/>
          </w:tcPr>
          <w:p w14:paraId="6C9DF832">
            <w:pPr>
              <w:jc w:val="left"/>
              <w:rPr>
                <w:rFonts w:ascii="黑体" w:hAnsi="黑体" w:eastAsia="黑体"/>
                <w:szCs w:val="21"/>
              </w:rPr>
            </w:pPr>
          </w:p>
        </w:tc>
        <w:tc>
          <w:tcPr>
            <w:tcW w:w="4677" w:type="dxa"/>
            <w:gridSpan w:val="2"/>
            <w:shd w:val="clear" w:color="auto" w:fill="auto"/>
            <w:tcMar>
              <w:left w:w="108" w:type="dxa"/>
              <w:right w:w="108" w:type="dxa"/>
            </w:tcMar>
            <w:vAlign w:val="center"/>
          </w:tcPr>
          <w:p w14:paraId="7F110CF7">
            <w:pPr>
              <w:widowControl/>
              <w:spacing w:line="300" w:lineRule="exact"/>
              <w:jc w:val="lef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2E4AC8AF">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34</w:t>
            </w:r>
          </w:p>
        </w:tc>
        <w:tc>
          <w:tcPr>
            <w:tcW w:w="567" w:type="dxa"/>
            <w:shd w:val="clear" w:color="auto" w:fill="auto"/>
            <w:tcMar>
              <w:left w:w="108" w:type="dxa"/>
              <w:right w:w="108" w:type="dxa"/>
            </w:tcMar>
            <w:vAlign w:val="center"/>
          </w:tcPr>
          <w:p w14:paraId="2E5D9A9D">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EC2BC66">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F8DD1A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67A6FC8">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FA7EEBE">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0B3757D3">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34</w:t>
            </w:r>
          </w:p>
        </w:tc>
      </w:tr>
      <w:tr w14:paraId="7828D7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648CACD8">
            <w:pPr>
              <w:widowControl/>
              <w:spacing w:line="300" w:lineRule="exact"/>
              <w:jc w:val="lef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6E5A167D">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1F8AF23">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FD9410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F70228A">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7D05DDB">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4E2E882">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CCA3B01">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14:paraId="3D9DA819">
      <w:pPr>
        <w:pStyle w:val="4"/>
        <w:numPr>
          <w:ilvl w:val="0"/>
          <w:numId w:val="0"/>
        </w:numPr>
        <w:spacing w:before="0" w:beforeAutospacing="0" w:after="0" w:afterAutospacing="0" w:line="600" w:lineRule="exact"/>
        <w:jc w:val="left"/>
        <w:rPr>
          <w:rFonts w:hint="eastAsia" w:ascii="仿宋_GB2312" w:eastAsia="仿宋_GB2312" w:cs="Times New Roman"/>
          <w:kern w:val="0"/>
          <w:sz w:val="32"/>
          <w:szCs w:val="32"/>
          <w:lang w:val="en-US" w:eastAsia="zh-CN" w:bidi="ar-SA"/>
        </w:rPr>
      </w:pPr>
    </w:p>
    <w:p w14:paraId="18D6B0E3">
      <w:pPr>
        <w:pStyle w:val="4"/>
        <w:numPr>
          <w:ilvl w:val="0"/>
          <w:numId w:val="0"/>
        </w:numPr>
        <w:spacing w:before="0" w:beforeAutospacing="0" w:after="0" w:afterAutospacing="0" w:line="600" w:lineRule="exact"/>
        <w:ind w:firstLine="643" w:firstLineChars="200"/>
        <w:jc w:val="left"/>
        <w:rPr>
          <w:rFonts w:hint="eastAsia" w:ascii="仿宋_GB2312" w:eastAsia="仿宋_GB2312" w:cs="Times New Roman"/>
          <w:b/>
          <w:bCs/>
          <w:kern w:val="0"/>
          <w:sz w:val="32"/>
          <w:szCs w:val="32"/>
          <w:lang w:val="en-US" w:eastAsia="zh-CN" w:bidi="ar-SA"/>
        </w:rPr>
      </w:pPr>
      <w:r>
        <w:rPr>
          <w:rFonts w:hint="eastAsia" w:ascii="仿宋_GB2312" w:eastAsia="仿宋_GB2312" w:cs="Times New Roman"/>
          <w:b/>
          <w:bCs/>
          <w:kern w:val="0"/>
          <w:sz w:val="32"/>
          <w:szCs w:val="32"/>
          <w:lang w:val="en-US" w:eastAsia="zh-CN" w:bidi="ar-SA"/>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5B4B79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D5882AF">
            <w:pPr>
              <w:widowControl/>
              <w:jc w:val="left"/>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B7305BA">
            <w:pPr>
              <w:widowControl/>
              <w:jc w:val="left"/>
              <w:rPr>
                <w:rFonts w:ascii="黑体" w:hAnsi="黑体" w:eastAsia="黑体"/>
              </w:rPr>
            </w:pPr>
            <w:r>
              <w:rPr>
                <w:rFonts w:ascii="黑体" w:hAnsi="黑体" w:eastAsia="黑体"/>
                <w:kern w:val="0"/>
                <w:sz w:val="20"/>
                <w:szCs w:val="20"/>
              </w:rPr>
              <w:t>行政诉讼</w:t>
            </w:r>
          </w:p>
        </w:tc>
      </w:tr>
      <w:tr w14:paraId="16B420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144F0E">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75E47FFD">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E1BDE05">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75C2A7D">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A73AB4B">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1D0B1523">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F9B3653">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5A32C36F">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3D86A5B">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900885">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364EF7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C79E83">
            <w:pPr>
              <w:jc w:val="cente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C10543E">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1B5822B">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533348B">
            <w:pPr>
              <w:jc w:val="cente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5416689">
            <w:pPr>
              <w:jc w:val="cente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7BFBA056">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E5D3AB4">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2E155A8">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3794EFCF">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11BA775">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267F057C">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B57ED44">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334EE42">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015626">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6179E71E">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A273771">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5D205CBD">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C42F35">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14FB3">
            <w:pPr>
              <w:widowControl/>
              <w:jc w:val="center"/>
              <w:rPr>
                <w:rFonts w:ascii="黑体" w:hAnsi="黑体" w:eastAsia="黑体"/>
              </w:rPr>
            </w:pPr>
            <w:r>
              <w:rPr>
                <w:rFonts w:ascii="黑体" w:hAnsi="黑体" w:eastAsia="黑体"/>
                <w:kern w:val="0"/>
                <w:sz w:val="20"/>
                <w:szCs w:val="20"/>
              </w:rPr>
              <w:t>总计</w:t>
            </w:r>
          </w:p>
        </w:tc>
      </w:tr>
      <w:tr w14:paraId="22588A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1FEC9D">
            <w:pPr>
              <w:widowControl/>
              <w:spacing w:after="180"/>
              <w:jc w:val="left"/>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D012710">
            <w:pPr>
              <w:widowControl/>
              <w:spacing w:after="180"/>
              <w:jc w:val="left"/>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96B99A3">
            <w:pPr>
              <w:widowControl/>
              <w:spacing w:after="180"/>
              <w:jc w:val="left"/>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0110BD0">
            <w:pPr>
              <w:widowControl/>
              <w:spacing w:after="180"/>
              <w:jc w:val="left"/>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62EFA935">
            <w:pPr>
              <w:widowControl/>
              <w:spacing w:after="180"/>
              <w:jc w:val="left"/>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06C02A5C">
            <w:pPr>
              <w:widowControl/>
              <w:spacing w:after="180"/>
              <w:jc w:val="left"/>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031FC7E">
            <w:pPr>
              <w:widowControl/>
              <w:spacing w:after="180"/>
              <w:jc w:val="left"/>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91A2204">
            <w:pPr>
              <w:widowControl/>
              <w:spacing w:after="180"/>
              <w:jc w:val="left"/>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3472B46">
            <w:pPr>
              <w:widowControl/>
              <w:spacing w:after="180"/>
              <w:jc w:val="left"/>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C256E28">
            <w:pPr>
              <w:widowControl/>
              <w:spacing w:after="180"/>
              <w:jc w:val="left"/>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7ED934">
            <w:pPr>
              <w:widowControl/>
              <w:spacing w:after="180"/>
              <w:jc w:val="left"/>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9DD4185">
            <w:pPr>
              <w:widowControl/>
              <w:spacing w:after="180"/>
              <w:jc w:val="left"/>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77A89F0">
            <w:pPr>
              <w:widowControl/>
              <w:spacing w:after="180"/>
              <w:jc w:val="left"/>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78D4F514">
            <w:pPr>
              <w:widowControl/>
              <w:spacing w:after="180"/>
              <w:jc w:val="left"/>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5E3E8F5D">
            <w:pPr>
              <w:widowControl/>
              <w:spacing w:after="180"/>
              <w:jc w:val="left"/>
              <w:rPr>
                <w:rFonts w:hint="eastAsia" w:ascii="Times New Roman" w:hAnsi="Times New Roman" w:eastAsiaTheme="minorEastAsia"/>
                <w:lang w:val="en-US" w:eastAsia="zh-CN"/>
              </w:rPr>
            </w:pPr>
            <w:r>
              <w:rPr>
                <w:rFonts w:hint="eastAsia" w:ascii="Times New Roman" w:hAnsi="Times New Roman"/>
                <w:lang w:val="en-US" w:eastAsia="zh-CN"/>
              </w:rPr>
              <w:t>0</w:t>
            </w:r>
          </w:p>
        </w:tc>
      </w:tr>
    </w:tbl>
    <w:p w14:paraId="3755E739">
      <w:pPr>
        <w:pStyle w:val="4"/>
        <w:numPr>
          <w:ilvl w:val="0"/>
          <w:numId w:val="1"/>
        </w:numPr>
        <w:spacing w:before="0" w:beforeAutospacing="0" w:after="0" w:afterAutospacing="0" w:line="600" w:lineRule="exact"/>
        <w:ind w:leftChars="0" w:firstLine="643" w:firstLineChars="200"/>
        <w:jc w:val="left"/>
        <w:rPr>
          <w:rFonts w:hint="eastAsia" w:ascii="仿宋_GB2312" w:eastAsia="仿宋_GB2312" w:cs="Times New Roman"/>
          <w:b/>
          <w:bCs/>
          <w:kern w:val="0"/>
          <w:sz w:val="32"/>
          <w:szCs w:val="32"/>
          <w:highlight w:val="none"/>
          <w:lang w:val="en-US" w:eastAsia="zh-CN" w:bidi="ar-SA"/>
        </w:rPr>
      </w:pPr>
      <w:r>
        <w:rPr>
          <w:rFonts w:hint="eastAsia" w:ascii="仿宋_GB2312" w:eastAsia="仿宋_GB2312" w:cs="Times New Roman"/>
          <w:b/>
          <w:bCs/>
          <w:kern w:val="0"/>
          <w:sz w:val="32"/>
          <w:szCs w:val="32"/>
          <w:highlight w:val="none"/>
          <w:lang w:val="en-US" w:eastAsia="zh-CN" w:bidi="ar-SA"/>
        </w:rPr>
        <w:t>存在的主要问题及改进情况</w:t>
      </w:r>
    </w:p>
    <w:p w14:paraId="19DBF1BA">
      <w:pPr>
        <w:pStyle w:val="4"/>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存在的主要问题</w:t>
      </w:r>
    </w:p>
    <w:p w14:paraId="7A808796">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bidi="ar-SA"/>
        </w:rPr>
        <w:t>202</w:t>
      </w:r>
      <w:r>
        <w:rPr>
          <w:rFonts w:hint="eastAsia" w:ascii="仿宋_GB2312" w:hAnsi="仿宋_GB2312" w:eastAsia="仿宋_GB2312" w:cs="仿宋_GB2312"/>
          <w:sz w:val="32"/>
          <w:szCs w:val="32"/>
          <w:lang w:val="en-US" w:eastAsia="zh-CN" w:bidi="ar-SA"/>
        </w:rPr>
        <w:t>4</w:t>
      </w:r>
      <w:r>
        <w:rPr>
          <w:rFonts w:hint="eastAsia" w:ascii="仿宋_GB2312" w:hAnsi="仿宋_GB2312" w:eastAsia="仿宋_GB2312" w:cs="仿宋_GB2312"/>
          <w:sz w:val="32"/>
          <w:szCs w:val="32"/>
          <w:lang w:eastAsia="zh-CN" w:bidi="ar-SA"/>
        </w:rPr>
        <w:t>年在区政府信息公开办的指导下质量、数量等方面都有很大的</w:t>
      </w:r>
      <w:r>
        <w:rPr>
          <w:rFonts w:hint="eastAsia" w:ascii="仿宋_GB2312" w:hAnsi="仿宋_GB2312" w:eastAsia="仿宋_GB2312" w:cs="仿宋_GB2312"/>
          <w:sz w:val="32"/>
          <w:szCs w:val="32"/>
          <w:lang w:val="en-US" w:eastAsia="zh-CN" w:bidi="ar-SA"/>
        </w:rPr>
        <w:t>进步</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rPr>
        <w:t>部分信息公开质量有待提高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在公开重点领域信息时，存在内容不够全面、详细的问题，对公众关心的关键信息解读不够深入，影响了信息公开的效果。</w:t>
      </w:r>
    </w:p>
    <w:p w14:paraId="4335C35D">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（二）下步政府信息公开工作改进措施</w:t>
      </w:r>
    </w:p>
    <w:p w14:paraId="43B2D8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强化信息审核，提升公开质量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进一步完善政府信息公开审核机制，加强对重点领域信息公开内容的审核把关，确保信息全面、准确、详细。</w:t>
      </w:r>
    </w:p>
    <w:p w14:paraId="3B4DAA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加大对</w:t>
      </w:r>
      <w:r>
        <w:rPr>
          <w:rFonts w:hint="eastAsia" w:ascii="仿宋_GB2312" w:hAnsi="仿宋_GB2312" w:eastAsia="仿宋_GB2312" w:cs="仿宋_GB2312"/>
          <w:sz w:val="32"/>
          <w:szCs w:val="32"/>
          <w:lang w:eastAsia="zh-CN"/>
        </w:rPr>
        <w:t>涉及医疗卫生领域重要</w:t>
      </w:r>
      <w:r>
        <w:rPr>
          <w:rFonts w:hint="eastAsia" w:ascii="仿宋_GB2312" w:hAnsi="仿宋_GB2312" w:eastAsia="仿宋_GB2312" w:cs="仿宋_GB2312"/>
          <w:sz w:val="32"/>
          <w:szCs w:val="32"/>
        </w:rPr>
        <w:t>政策文件的解读力度，丰富解读形式，提高解读质量，增强政策的可读性和可理解性。</w:t>
      </w:r>
    </w:p>
    <w:p w14:paraId="6528AEC0">
      <w:pPr>
        <w:pStyle w:val="4"/>
        <w:spacing w:before="0" w:beforeAutospacing="0" w:after="0" w:afterAutospacing="0" w:line="600" w:lineRule="exact"/>
        <w:ind w:firstLine="640" w:firstLineChars="200"/>
        <w:jc w:val="both"/>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六、</w:t>
      </w:r>
      <w:r>
        <w:rPr>
          <w:rFonts w:ascii="黑体" w:hAnsi="黑体" w:eastAsia="黑体"/>
          <w:color w:val="auto"/>
          <w:sz w:val="32"/>
          <w:szCs w:val="32"/>
          <w:highlight w:val="none"/>
        </w:rPr>
        <w:t>其他需要报告的事项</w:t>
      </w:r>
    </w:p>
    <w:p w14:paraId="7E9B19A6">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lang w:eastAsia="zh-CN" w:bidi="ar-SA"/>
        </w:rPr>
      </w:pPr>
      <w:r>
        <w:rPr>
          <w:rFonts w:hint="eastAsia" w:ascii="仿宋_GB2312" w:hAnsi="仿宋_GB2312" w:eastAsia="仿宋_GB2312" w:cs="仿宋_GB2312"/>
          <w:sz w:val="32"/>
          <w:szCs w:val="32"/>
          <w:lang w:eastAsia="zh-CN" w:bidi="ar-SA"/>
        </w:rPr>
        <w:t>1. 依据《政府信息公开信息处理费管理办法》，202</w:t>
      </w:r>
      <w:r>
        <w:rPr>
          <w:rFonts w:hint="eastAsia" w:ascii="仿宋_GB2312" w:hAnsi="仿宋_GB2312" w:eastAsia="仿宋_GB2312" w:cs="仿宋_GB2312"/>
          <w:sz w:val="32"/>
          <w:szCs w:val="32"/>
          <w:lang w:val="en-US" w:eastAsia="zh-CN" w:bidi="ar-SA"/>
        </w:rPr>
        <w:t>4</w:t>
      </w:r>
      <w:r>
        <w:rPr>
          <w:rFonts w:hint="eastAsia" w:ascii="仿宋_GB2312" w:hAnsi="仿宋_GB2312" w:eastAsia="仿宋_GB2312" w:cs="仿宋_GB2312"/>
          <w:sz w:val="32"/>
          <w:szCs w:val="32"/>
          <w:lang w:eastAsia="zh-CN" w:bidi="ar-SA"/>
        </w:rPr>
        <w:t>年，区卫健局未收取信息处理费。</w:t>
      </w:r>
    </w:p>
    <w:p w14:paraId="77AF4B39">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lang w:eastAsia="zh-CN" w:bidi="ar-SA"/>
        </w:rPr>
      </w:pPr>
      <w:r>
        <w:rPr>
          <w:rFonts w:hint="eastAsia" w:ascii="仿宋_GB2312" w:hAnsi="仿宋_GB2312" w:eastAsia="仿宋_GB2312" w:cs="仿宋_GB2312"/>
          <w:sz w:val="32"/>
          <w:szCs w:val="32"/>
          <w:highlight w:val="none"/>
          <w:lang w:val="en-US" w:eastAsia="zh-CN" w:bidi="ar-SA"/>
        </w:rPr>
        <w:t>2</w:t>
      </w:r>
      <w:r>
        <w:rPr>
          <w:rFonts w:hint="eastAsia" w:ascii="仿宋_GB2312" w:hAnsi="仿宋_GB2312" w:eastAsia="仿宋_GB2312" w:cs="仿宋_GB2312"/>
          <w:sz w:val="32"/>
          <w:szCs w:val="32"/>
          <w:highlight w:val="none"/>
          <w:lang w:eastAsia="zh-CN" w:bidi="ar-SA"/>
        </w:rPr>
        <w:t>.人大建议、政协提案办理结果公开情况：</w:t>
      </w:r>
    </w:p>
    <w:p w14:paraId="485760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今年以来，区</w:t>
      </w:r>
      <w:r>
        <w:rPr>
          <w:rFonts w:hint="eastAsia" w:ascii="仿宋_GB2312" w:hAnsi="仿宋_GB2312" w:eastAsia="仿宋_GB2312" w:cs="仿宋_GB2312"/>
          <w:color w:val="auto"/>
          <w:sz w:val="32"/>
          <w:szCs w:val="32"/>
          <w:highlight w:val="none"/>
          <w:lang w:val="en-US" w:eastAsia="zh-CN"/>
        </w:rPr>
        <w:t>卫健局</w:t>
      </w:r>
      <w:r>
        <w:rPr>
          <w:rFonts w:hint="default" w:ascii="仿宋_GB2312" w:hAnsi="仿宋_GB2312" w:eastAsia="仿宋_GB2312" w:cs="仿宋_GB2312"/>
          <w:color w:val="auto"/>
          <w:sz w:val="32"/>
          <w:szCs w:val="32"/>
          <w:highlight w:val="none"/>
          <w:lang w:val="en-US" w:eastAsia="zh-CN"/>
        </w:rPr>
        <w:t>共收到全国人大代表建议9件、政协委员建议12件，共计21件。其中，</w:t>
      </w:r>
      <w:r>
        <w:rPr>
          <w:rFonts w:hint="eastAsia" w:ascii="仿宋_GB2312" w:hAnsi="仿宋_GB2312" w:eastAsia="仿宋_GB2312" w:cs="仿宋_GB2312"/>
          <w:color w:val="auto"/>
          <w:sz w:val="32"/>
          <w:szCs w:val="32"/>
          <w:highlight w:val="none"/>
          <w:lang w:val="en-US" w:eastAsia="zh-CN"/>
        </w:rPr>
        <w:t>区卫健局</w:t>
      </w:r>
      <w:r>
        <w:rPr>
          <w:rFonts w:hint="default" w:ascii="仿宋_GB2312" w:hAnsi="仿宋_GB2312" w:eastAsia="仿宋_GB2312" w:cs="仿宋_GB2312"/>
          <w:color w:val="auto"/>
          <w:sz w:val="32"/>
          <w:szCs w:val="32"/>
          <w:highlight w:val="none"/>
          <w:lang w:val="en-US" w:eastAsia="zh-CN"/>
        </w:rPr>
        <w:t>吸收采纳21条，不予采纳0条，吸收采纳率100%。相关建议已全部办理完毕。</w:t>
      </w:r>
    </w:p>
    <w:p w14:paraId="2D07E8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接到提案后，</w:t>
      </w:r>
      <w:r>
        <w:rPr>
          <w:rFonts w:hint="eastAsia" w:ascii="仿宋_GB2312" w:hAnsi="仿宋_GB2312" w:eastAsia="仿宋_GB2312" w:cs="仿宋_GB2312"/>
          <w:color w:val="auto"/>
          <w:sz w:val="32"/>
          <w:szCs w:val="32"/>
          <w:highlight w:val="none"/>
          <w:lang w:val="en-US" w:eastAsia="zh-CN"/>
        </w:rPr>
        <w:t>区卫健局</w:t>
      </w:r>
      <w:r>
        <w:rPr>
          <w:rFonts w:hint="default" w:ascii="仿宋_GB2312" w:hAnsi="仿宋_GB2312" w:eastAsia="仿宋_GB2312" w:cs="仿宋_GB2312"/>
          <w:color w:val="auto"/>
          <w:sz w:val="32"/>
          <w:szCs w:val="32"/>
          <w:highlight w:val="none"/>
          <w:lang w:val="en-US" w:eastAsia="zh-CN"/>
        </w:rPr>
        <w:t>领导高度重视办理回复工作，积极部署安排，及时召开专题会议，统一思想，明确责任，分解任务，限期完成。认真研究和了解报送人的意见和建议，安排专人与建议人进行联系。在办理工作中，承办人员对每一份建议、提案都向建议人了解详细情况，并根据建议人、提案人的意见，有针对性地提出解决办法和措施。截止目前，所有建议已得到回复，全国人大代表，政协委员均未回复任何异议，对结果比较满意。</w:t>
      </w:r>
    </w:p>
    <w:p w14:paraId="754EE1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3.落实政务公开工作要点情况：2024年，区卫健局积极响应上级政务公开工作部署，全面推进决策、执行、管理、服务、结果公开，切实做好</w:t>
      </w:r>
      <w:r>
        <w:rPr>
          <w:rFonts w:hint="eastAsia" w:ascii="仿宋_GB2312" w:hAnsi="仿宋_GB2312" w:eastAsia="仿宋_GB2312" w:cs="仿宋_GB2312"/>
          <w:sz w:val="32"/>
          <w:szCs w:val="32"/>
          <w:lang w:val="en-US" w:eastAsia="zh-CN"/>
        </w:rPr>
        <w:t>医疗卫生领域公共企事业单位信息公开，</w:t>
      </w:r>
      <w:r>
        <w:rPr>
          <w:rFonts w:hint="eastAsia" w:ascii="仿宋_GB2312" w:hAnsi="仿宋_GB2312" w:eastAsia="仿宋_GB2312" w:cs="仿宋_GB2312"/>
          <w:color w:val="auto"/>
          <w:sz w:val="32"/>
          <w:szCs w:val="32"/>
          <w:highlight w:val="none"/>
          <w:lang w:val="en-US" w:eastAsia="zh-CN"/>
        </w:rPr>
        <w:t>切实保障公众知情权、参与权和监督权。</w:t>
      </w:r>
    </w:p>
    <w:p w14:paraId="3DE33C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政府公开工作创新：2024年，本单位立足实际，加强组织领导，落实工作责任。形成了以主要负责人、各级负责人、管理落实人的工作格局，组织开展全局工作人员都参与学习政府信息依申请公开工作，在今年办件较往年数量高度上涨的情况下，各业务科室互相配合，</w:t>
      </w:r>
      <w:r>
        <w:rPr>
          <w:rFonts w:hint="eastAsia" w:ascii="仿宋_GB2312" w:hAnsi="仿宋_GB2312" w:eastAsia="仿宋_GB2312" w:cs="仿宋_GB2312"/>
          <w:sz w:val="32"/>
          <w:szCs w:val="32"/>
          <w:lang w:eastAsia="zh-CN"/>
        </w:rPr>
        <w:t>均依法合规答复，无行政复议和诉讼情形，</w:t>
      </w:r>
      <w:r>
        <w:rPr>
          <w:rFonts w:hint="eastAsia" w:ascii="仿宋_GB2312" w:hAnsi="仿宋_GB2312" w:eastAsia="仿宋_GB2312" w:cs="仿宋_GB2312"/>
          <w:color w:val="auto"/>
          <w:sz w:val="32"/>
          <w:szCs w:val="32"/>
          <w:highlight w:val="none"/>
          <w:lang w:val="en-US" w:eastAsia="zh-CN"/>
        </w:rPr>
        <w:t>有效保障了政务公开工作的有效落实和高效运行。</w:t>
      </w:r>
    </w:p>
    <w:sectPr>
      <w:pgSz w:w="11906" w:h="16838"/>
      <w:pgMar w:top="1440" w:right="1956" w:bottom="1440" w:left="195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FB1F8"/>
    <w:multiLevelType w:val="singleLevel"/>
    <w:tmpl w:val="CECFB1F8"/>
    <w:lvl w:ilvl="0" w:tentative="0">
      <w:start w:val="1"/>
      <w:numFmt w:val="chineseCounting"/>
      <w:suff w:val="nothing"/>
      <w:lvlText w:val="（%1）"/>
      <w:lvlJc w:val="left"/>
      <w:rPr>
        <w:rFonts w:hint="eastAsia"/>
      </w:rPr>
    </w:lvl>
  </w:abstractNum>
  <w:abstractNum w:abstractNumId="1">
    <w:nsid w:val="D2D7B9F8"/>
    <w:multiLevelType w:val="singleLevel"/>
    <w:tmpl w:val="D2D7B9F8"/>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4OTFiYjg1YmU3ODQ2N2EzMzE0NjAwNmFjMzg1OWEifQ=="/>
  </w:docVars>
  <w:rsids>
    <w:rsidRoot w:val="788D156F"/>
    <w:rsid w:val="00046CA0"/>
    <w:rsid w:val="003A7AC5"/>
    <w:rsid w:val="01915361"/>
    <w:rsid w:val="03FE7EAB"/>
    <w:rsid w:val="04250FFA"/>
    <w:rsid w:val="05425F6A"/>
    <w:rsid w:val="05665D07"/>
    <w:rsid w:val="07E35567"/>
    <w:rsid w:val="08E860B6"/>
    <w:rsid w:val="091B505B"/>
    <w:rsid w:val="0BAE21B6"/>
    <w:rsid w:val="0CC872A8"/>
    <w:rsid w:val="10A007D8"/>
    <w:rsid w:val="116C135C"/>
    <w:rsid w:val="120B3EBE"/>
    <w:rsid w:val="164A0FAA"/>
    <w:rsid w:val="17306175"/>
    <w:rsid w:val="17321EED"/>
    <w:rsid w:val="19D452EB"/>
    <w:rsid w:val="1B9F3AB2"/>
    <w:rsid w:val="1BEE6DFD"/>
    <w:rsid w:val="1CBA09BB"/>
    <w:rsid w:val="1E0102F8"/>
    <w:rsid w:val="1EEA1CCE"/>
    <w:rsid w:val="21153B34"/>
    <w:rsid w:val="21EB7868"/>
    <w:rsid w:val="24A70F6F"/>
    <w:rsid w:val="24BD7F8B"/>
    <w:rsid w:val="252136B7"/>
    <w:rsid w:val="25D6438C"/>
    <w:rsid w:val="270B5ED8"/>
    <w:rsid w:val="27C33864"/>
    <w:rsid w:val="27F37477"/>
    <w:rsid w:val="28A10C81"/>
    <w:rsid w:val="29B12771"/>
    <w:rsid w:val="2C867F83"/>
    <w:rsid w:val="2F026B7F"/>
    <w:rsid w:val="2F3354DA"/>
    <w:rsid w:val="2F407C0C"/>
    <w:rsid w:val="30046F5F"/>
    <w:rsid w:val="30105953"/>
    <w:rsid w:val="30A75257"/>
    <w:rsid w:val="30E97669"/>
    <w:rsid w:val="32027592"/>
    <w:rsid w:val="32171FB4"/>
    <w:rsid w:val="334542A6"/>
    <w:rsid w:val="33770F5C"/>
    <w:rsid w:val="33FA4C4F"/>
    <w:rsid w:val="36BE74F2"/>
    <w:rsid w:val="37A83DDA"/>
    <w:rsid w:val="3E364BDA"/>
    <w:rsid w:val="3F486CC3"/>
    <w:rsid w:val="3FC7143B"/>
    <w:rsid w:val="405427C5"/>
    <w:rsid w:val="41753A92"/>
    <w:rsid w:val="42A72EE0"/>
    <w:rsid w:val="42D1231E"/>
    <w:rsid w:val="452F21EB"/>
    <w:rsid w:val="48653621"/>
    <w:rsid w:val="49C425C9"/>
    <w:rsid w:val="4A244400"/>
    <w:rsid w:val="4CD71F42"/>
    <w:rsid w:val="4D50664E"/>
    <w:rsid w:val="4FCC3F86"/>
    <w:rsid w:val="501550E4"/>
    <w:rsid w:val="508B416F"/>
    <w:rsid w:val="50EF43D0"/>
    <w:rsid w:val="51C753B8"/>
    <w:rsid w:val="542A79BB"/>
    <w:rsid w:val="55015040"/>
    <w:rsid w:val="55476387"/>
    <w:rsid w:val="55F20AC0"/>
    <w:rsid w:val="56E130FA"/>
    <w:rsid w:val="57716CDC"/>
    <w:rsid w:val="579130D0"/>
    <w:rsid w:val="57B11829"/>
    <w:rsid w:val="587A0A23"/>
    <w:rsid w:val="5BCD6643"/>
    <w:rsid w:val="5C732359"/>
    <w:rsid w:val="5DAB167E"/>
    <w:rsid w:val="5DCE6985"/>
    <w:rsid w:val="5DFC1EDA"/>
    <w:rsid w:val="5F061262"/>
    <w:rsid w:val="5FF94530"/>
    <w:rsid w:val="606B72EF"/>
    <w:rsid w:val="60C86006"/>
    <w:rsid w:val="622C163E"/>
    <w:rsid w:val="62382B7D"/>
    <w:rsid w:val="63864720"/>
    <w:rsid w:val="652333B5"/>
    <w:rsid w:val="659473C8"/>
    <w:rsid w:val="67BE2741"/>
    <w:rsid w:val="67F65BEC"/>
    <w:rsid w:val="68036417"/>
    <w:rsid w:val="68CD4B9F"/>
    <w:rsid w:val="6BDC0B2D"/>
    <w:rsid w:val="6D262AD0"/>
    <w:rsid w:val="6D6B4986"/>
    <w:rsid w:val="6E470F4F"/>
    <w:rsid w:val="6F0069DE"/>
    <w:rsid w:val="708F6BDE"/>
    <w:rsid w:val="712D267F"/>
    <w:rsid w:val="714B7388"/>
    <w:rsid w:val="742A10F7"/>
    <w:rsid w:val="74FC596A"/>
    <w:rsid w:val="777F348A"/>
    <w:rsid w:val="77DFC871"/>
    <w:rsid w:val="788D156F"/>
    <w:rsid w:val="7ACA5E0F"/>
    <w:rsid w:val="7C7215CE"/>
    <w:rsid w:val="7CED7166"/>
    <w:rsid w:val="BA7B23C6"/>
    <w:rsid w:val="D7F71522"/>
    <w:rsid w:val="F3FD8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120"/>
      <w:outlineLvl w:val="0"/>
    </w:pPr>
    <w:rPr>
      <w:rFonts w:ascii="Microsoft JhengHei" w:hAnsi="Microsoft JhengHei" w:eastAsia="Microsoft JhengHei" w:cs="Microsoft JhengHei"/>
      <w:b/>
      <w:bCs/>
      <w:sz w:val="44"/>
      <w:szCs w:val="44"/>
      <w:lang w:val="zh-CN" w:bidi="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2827</Words>
  <Characters>2954</Characters>
  <Lines>0</Lines>
  <Paragraphs>0</Paragraphs>
  <TotalTime>24</TotalTime>
  <ScaleCrop>false</ScaleCrop>
  <LinksUpToDate>false</LinksUpToDate>
  <CharactersWithSpaces>2959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2022-01-25T07:15:00Z</dcterms:created>
  <dc:creator>ChAn9</dc:creator>
  <cp:lastModifiedBy>xjhswez</cp:lastModifiedBy>
  <cp:lastPrinted>2022-01-26T01:18:00Z</cp:lastPrinted>
  <dcterms:modified xsi:type="dcterms:W3CDTF">2025-01-21T01:55:00Z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72C725AF86254B4F985AFD1993896CFA_13</vt:lpwstr>
  </property>
  <property fmtid="{D5CDD505-2E9C-101B-9397-08002B2CF9AE}" pid="4" name="KSOTemplateDocerSaveRecord">
    <vt:lpwstr>eyJoZGlkIjoiZGJmNmRiMjhhODI0NWE5YjI2NGRhY2ZiZmU0YzNkMWQiLCJ1c2VySWQiOiI1NDg5MzkyIn0=</vt:lpwstr>
  </property>
</Properties>
</file>