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jc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pacing w:val="15"/>
          <w:sz w:val="44"/>
          <w:szCs w:val="44"/>
          <w:shd w:val="clear" w:fill="EDEDED"/>
          <w:lang w:eastAsia="zh-CN"/>
        </w:rPr>
        <w:t>泰安市</w:t>
      </w:r>
      <w:r>
        <w:rPr>
          <w:rFonts w:hint="eastAsia" w:ascii="方正小标宋_GBK" w:hAnsi="方正小标宋_GBK" w:eastAsia="方正小标宋_GBK" w:cs="方正小标宋_GBK"/>
          <w:color w:val="333333"/>
          <w:spacing w:val="15"/>
          <w:sz w:val="44"/>
          <w:szCs w:val="44"/>
          <w:shd w:val="clear" w:fill="EDEDED"/>
        </w:rPr>
        <w:t>泰山区财源街道办事处</w:t>
      </w:r>
    </w:p>
    <w:p>
      <w:pPr>
        <w:pStyle w:val="2"/>
        <w:keepNext w:val="0"/>
        <w:keepLines w:val="0"/>
        <w:widowControl/>
        <w:suppressLineNumbers w:val="0"/>
        <w:spacing w:before="0" w:beforeAutospacing="0" w:after="0" w:afterAutospacing="0" w:line="600" w:lineRule="atLeast"/>
        <w:ind w:left="0" w:right="0"/>
        <w:jc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pacing w:val="15"/>
          <w:sz w:val="44"/>
          <w:szCs w:val="44"/>
          <w:shd w:val="clear" w:fill="EDEDED"/>
        </w:rPr>
        <w:t>202</w:t>
      </w:r>
      <w:r>
        <w:rPr>
          <w:rFonts w:hint="eastAsia" w:ascii="方正小标宋_GBK" w:hAnsi="方正小标宋_GBK" w:eastAsia="方正小标宋_GBK" w:cs="方正小标宋_GBK"/>
          <w:color w:val="333333"/>
          <w:spacing w:val="15"/>
          <w:sz w:val="44"/>
          <w:szCs w:val="44"/>
          <w:shd w:val="clear" w:fill="EDEDED"/>
          <w:lang w:val="en-US" w:eastAsia="zh-CN"/>
        </w:rPr>
        <w:t>2</w:t>
      </w:r>
      <w:r>
        <w:rPr>
          <w:rFonts w:hint="eastAsia" w:ascii="方正小标宋_GBK" w:hAnsi="方正小标宋_GBK" w:eastAsia="方正小标宋_GBK" w:cs="方正小标宋_GBK"/>
          <w:color w:val="333333"/>
          <w:spacing w:val="15"/>
          <w:sz w:val="44"/>
          <w:szCs w:val="44"/>
          <w:shd w:val="clear" w:fill="EDEDED"/>
        </w:rPr>
        <w:t>年政府信息公开工作年度报告</w:t>
      </w:r>
    </w:p>
    <w:p>
      <w:pPr>
        <w:pStyle w:val="2"/>
        <w:keepNext w:val="0"/>
        <w:keepLines w:val="0"/>
        <w:widowControl/>
        <w:suppressLineNumbers w:val="0"/>
        <w:spacing w:before="0" w:beforeAutospacing="0" w:after="0" w:afterAutospacing="0" w:line="600" w:lineRule="atLeast"/>
        <w:ind w:left="0" w:right="0" w:firstLine="885"/>
        <w:jc w:val="both"/>
        <w:rPr>
          <w:color w:val="333333"/>
          <w:sz w:val="22"/>
          <w:szCs w:val="22"/>
        </w:rPr>
      </w:pPr>
      <w:r>
        <w:rPr>
          <w:rFonts w:hint="default" w:ascii="Times New Roman" w:hAnsi="Times New Roman" w:eastAsia="微软雅黑" w:cs="Times New Roman"/>
          <w:color w:val="333333"/>
          <w:sz w:val="43"/>
          <w:szCs w:val="43"/>
          <w:shd w:val="clear" w:fill="EDEDED"/>
        </w:rPr>
        <w:t> </w:t>
      </w:r>
    </w:p>
    <w:p>
      <w:pPr>
        <w:pStyle w:val="2"/>
        <w:keepNext w:val="0"/>
        <w:keepLines w:val="0"/>
        <w:widowControl/>
        <w:suppressLineNumbers w:val="0"/>
        <w:spacing w:before="0" w:beforeAutospacing="0" w:after="0" w:afterAutospacing="0" w:line="60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自2022年1月1日起至2022年12月31日止。</w:t>
      </w:r>
    </w:p>
    <w:p>
      <w:pPr>
        <w:pStyle w:val="2"/>
        <w:keepNext w:val="0"/>
        <w:keepLines w:val="0"/>
        <w:widowControl/>
        <w:suppressLineNumbers w:val="0"/>
        <w:spacing w:before="0" w:beforeAutospacing="0" w:after="0" w:afterAutospacing="0" w:line="600" w:lineRule="atLeast"/>
        <w:ind w:left="0" w:right="0" w:firstLine="645"/>
        <w:jc w:val="both"/>
        <w:rPr>
          <w:color w:val="333333"/>
          <w:sz w:val="22"/>
          <w:szCs w:val="22"/>
        </w:rPr>
      </w:pPr>
      <w:r>
        <w:rPr>
          <w:rFonts w:hint="eastAsia" w:ascii="方正黑体_GBK" w:hAnsi="方正黑体_GBK" w:eastAsia="方正黑体_GBK" w:cs="方正黑体_GBK"/>
          <w:sz w:val="32"/>
          <w:szCs w:val="32"/>
        </w:rPr>
        <w:t>一、总体情况</w:t>
      </w:r>
    </w:p>
    <w:p>
      <w:pPr>
        <w:pStyle w:val="2"/>
        <w:keepNext w:val="0"/>
        <w:keepLines w:val="0"/>
        <w:widowControl/>
        <w:suppressLineNumbers w:val="0"/>
        <w:spacing w:before="0" w:beforeAutospacing="0" w:after="0" w:afterAutospacing="0" w:line="60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泰山区财源街道办事处按照区政府的总体部署和工作要求，深入贯彻落实《中华人民共和国政府信息公开条例》，以着力满足群众信息公开机制，强化各项工作措施，对涉及群众利益和公共政策事项及时向社会公开，扎实推进政府信息公开工作，有效保障了公民的知情权、参与权和监督权。</w:t>
      </w:r>
    </w:p>
    <w:p>
      <w:pPr>
        <w:pStyle w:val="2"/>
        <w:keepNext w:val="0"/>
        <w:keepLines w:val="0"/>
        <w:widowControl/>
        <w:suppressLineNumbers w:val="0"/>
        <w:spacing w:before="0" w:beforeAutospacing="0" w:after="0" w:afterAutospacing="0" w:line="60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1.主动公开。</w:t>
      </w:r>
      <w:r>
        <w:rPr>
          <w:rFonts w:hint="eastAsia" w:ascii="仿宋_GB2312" w:hAnsi="仿宋_GB2312" w:eastAsia="仿宋_GB2312" w:cs="仿宋_GB2312"/>
          <w:sz w:val="32"/>
          <w:szCs w:val="32"/>
        </w:rPr>
        <w:t>财源街道办事处主要通过泰山区人民政府门户网站进行公开，在区政府信息公开专栏公开机构职能、法规文件、财政信息、人事信息、决策公开、执行和落实情况公开、业务动态、组织管理、政策解读与回应、重点领域信息公开等方面。</w:t>
      </w:r>
    </w:p>
    <w:p>
      <w:pPr>
        <w:pStyle w:val="2"/>
        <w:keepNext w:val="0"/>
        <w:keepLines w:val="0"/>
        <w:widowControl/>
        <w:suppressLineNumbers w:val="0"/>
        <w:spacing w:before="0" w:beforeAutospacing="0" w:after="0" w:afterAutospacing="0" w:line="60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2.依申请公开。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单位全力做好依申请公开工作，明确了依申请公开工作的职责分工、受理范围、办理时限等内容；将受理机构地址、咨询受理时间、咨询电话、电子邮箱等均在泰山区人民政府信息公开专栏予以公布，方便申请人申请公开信息，全面规范依申请公开行为。</w:t>
      </w:r>
    </w:p>
    <w:p>
      <w:pPr>
        <w:pStyle w:val="2"/>
        <w:keepNext w:val="0"/>
        <w:keepLines w:val="0"/>
        <w:widowControl/>
        <w:suppressLineNumbers w:val="0"/>
        <w:spacing w:before="0" w:beforeAutospacing="0" w:after="0" w:afterAutospacing="0" w:line="60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3.政府信息管理。</w:t>
      </w:r>
      <w:r>
        <w:rPr>
          <w:rFonts w:hint="eastAsia" w:ascii="仿宋_GB2312" w:hAnsi="仿宋_GB2312" w:eastAsia="仿宋_GB2312" w:cs="仿宋_GB2312"/>
          <w:sz w:val="32"/>
          <w:szCs w:val="32"/>
        </w:rPr>
        <w:t>严格落实《泰山区信息公开管理办法》，调整财源街道信息公开工作领导小组，全面追踪信息公开工作进度，确保了信息公开时效性。遵循公正、公开、便民的原则，认真落实好政务信息主动公开和依申请公开制度，严格审查把关，对拟不公开的，依法依规说明理由。</w:t>
      </w:r>
    </w:p>
    <w:p>
      <w:pPr>
        <w:pStyle w:val="2"/>
        <w:keepNext w:val="0"/>
        <w:keepLines w:val="0"/>
        <w:widowControl/>
        <w:suppressLineNumbers w:val="0"/>
        <w:spacing w:before="0" w:beforeAutospacing="0" w:after="0" w:afterAutospacing="0" w:line="60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4.政府信息公开平台建设。</w:t>
      </w:r>
      <w:r>
        <w:rPr>
          <w:rFonts w:hint="eastAsia" w:ascii="仿宋_GB2312" w:hAnsi="仿宋_GB2312" w:eastAsia="仿宋_GB2312" w:cs="仿宋_GB2312"/>
          <w:sz w:val="32"/>
          <w:szCs w:val="32"/>
        </w:rPr>
        <w:t>充分发挥政府网站在信息公开中的平台作用，强化信息发布制度，增强网络平台的正规化建设。</w:t>
      </w:r>
    </w:p>
    <w:p>
      <w:pPr>
        <w:pStyle w:val="2"/>
        <w:keepNext w:val="0"/>
        <w:keepLines w:val="0"/>
        <w:widowControl/>
        <w:suppressLineNumbers w:val="0"/>
        <w:spacing w:before="0" w:beforeAutospacing="0" w:after="0" w:afterAutospacing="0" w:line="60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5.监督保障。</w:t>
      </w:r>
      <w:r>
        <w:rPr>
          <w:rFonts w:hint="eastAsia" w:ascii="仿宋_GB2312" w:hAnsi="仿宋_GB2312" w:eastAsia="仿宋_GB2312" w:cs="仿宋_GB2312"/>
          <w:sz w:val="32"/>
          <w:szCs w:val="32"/>
        </w:rPr>
        <w:t>主动配合区政府的考核及监督，设立监督投诉电话，加强对政府信息公开工作的监督，对投诉的问题严格实施责任追究，做到事事有答复，件件有落实。</w:t>
      </w:r>
    </w:p>
    <w:p>
      <w:pPr>
        <w:pStyle w:val="2"/>
        <w:keepNext w:val="0"/>
        <w:keepLines w:val="0"/>
        <w:widowControl/>
        <w:suppressLineNumbers w:val="0"/>
        <w:spacing w:before="0" w:beforeAutospacing="0" w:after="0" w:afterAutospacing="0" w:line="600" w:lineRule="atLeast"/>
        <w:ind w:left="0" w:right="0" w:firstLine="645"/>
        <w:jc w:val="both"/>
        <w:rPr>
          <w:rFonts w:hint="eastAsia" w:ascii="黑体" w:hAnsi="宋体" w:eastAsia="黑体" w:cs="黑体"/>
          <w:color w:val="333333"/>
          <w:sz w:val="31"/>
          <w:szCs w:val="31"/>
          <w:shd w:val="clear" w:fill="EDEDED"/>
        </w:rPr>
      </w:pPr>
    </w:p>
    <w:p>
      <w:pPr>
        <w:pStyle w:val="2"/>
        <w:keepNext w:val="0"/>
        <w:keepLines w:val="0"/>
        <w:widowControl/>
        <w:suppressLineNumbers w:val="0"/>
        <w:spacing w:before="0" w:beforeAutospacing="0" w:after="0" w:afterAutospacing="0" w:line="600" w:lineRule="atLeast"/>
        <w:ind w:left="0" w:right="0" w:firstLine="645"/>
        <w:jc w:val="both"/>
        <w:rPr>
          <w:rFonts w:hint="eastAsia" w:ascii="黑体" w:hAnsi="宋体" w:eastAsia="黑体" w:cs="黑体"/>
          <w:color w:val="333333"/>
          <w:sz w:val="31"/>
          <w:szCs w:val="31"/>
          <w:shd w:val="clear" w:fill="EDEDED"/>
        </w:rPr>
      </w:pPr>
    </w:p>
    <w:p>
      <w:pPr>
        <w:pStyle w:val="2"/>
        <w:keepNext w:val="0"/>
        <w:keepLines w:val="0"/>
        <w:widowControl/>
        <w:suppressLineNumbers w:val="0"/>
        <w:spacing w:before="0" w:beforeAutospacing="0" w:after="0" w:afterAutospacing="0" w:line="600" w:lineRule="atLeast"/>
        <w:ind w:left="0" w:right="0" w:firstLine="645"/>
        <w:jc w:val="both"/>
        <w:rPr>
          <w:rFonts w:hint="eastAsia" w:ascii="黑体" w:hAnsi="宋体" w:eastAsia="黑体" w:cs="黑体"/>
          <w:color w:val="333333"/>
          <w:sz w:val="31"/>
          <w:szCs w:val="31"/>
          <w:shd w:val="clear" w:fill="EDEDED"/>
        </w:rPr>
      </w:pPr>
    </w:p>
    <w:p>
      <w:pPr>
        <w:pStyle w:val="2"/>
        <w:keepNext w:val="0"/>
        <w:keepLines w:val="0"/>
        <w:widowControl/>
        <w:suppressLineNumbers w:val="0"/>
        <w:spacing w:before="0" w:beforeAutospacing="0" w:after="0" w:afterAutospacing="0" w:line="600" w:lineRule="atLeast"/>
        <w:ind w:left="0" w:right="0" w:firstLine="645"/>
        <w:jc w:val="both"/>
        <w:rPr>
          <w:color w:val="333333"/>
          <w:sz w:val="21"/>
          <w:szCs w:val="21"/>
        </w:rPr>
      </w:pPr>
      <w:r>
        <w:rPr>
          <w:rFonts w:hint="eastAsia" w:ascii="方正黑体_GBK" w:hAnsi="方正黑体_GBK" w:eastAsia="方正黑体_GBK" w:cs="方正黑体_GBK"/>
          <w:sz w:val="32"/>
          <w:szCs w:val="32"/>
        </w:rPr>
        <w:t>二、主动公开政府信息情况</w:t>
      </w:r>
      <w:r>
        <w:rPr>
          <w:rFonts w:hint="eastAsia" w:ascii="黑体" w:hAnsi="宋体" w:eastAsia="黑体" w:cs="黑体"/>
          <w:color w:val="333333"/>
          <w:sz w:val="31"/>
          <w:szCs w:val="31"/>
          <w:shd w:val="clear" w:fill="EDEDED"/>
        </w:rPr>
        <w:t> </w:t>
      </w:r>
    </w:p>
    <w:tbl>
      <w:tblPr>
        <w:tblStyle w:val="3"/>
        <w:tblW w:w="88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11"/>
        <w:gridCol w:w="2197"/>
        <w:gridCol w:w="2200"/>
        <w:gridCol w:w="2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仿宋_GB2312" w:hAnsi="微软雅黑" w:eastAsia="仿宋_GB2312" w:cs="仿宋_GB2312"/>
                <w:color w:val="333333"/>
                <w:sz w:val="21"/>
                <w:szCs w:val="21"/>
              </w:rPr>
              <w:t>信息内容</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仿宋_GB2312" w:hAnsi="微软雅黑" w:eastAsia="仿宋_GB2312" w:cs="仿宋_GB2312"/>
                <w:color w:val="333333"/>
                <w:sz w:val="21"/>
                <w:szCs w:val="21"/>
              </w:rPr>
              <w:t>本年制发件数</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仿宋_GB2312" w:hAnsi="微软雅黑" w:eastAsia="仿宋_GB2312" w:cs="仿宋_GB2312"/>
                <w:color w:val="333333"/>
                <w:sz w:val="21"/>
                <w:szCs w:val="21"/>
              </w:rPr>
              <w:t>本年废止件数</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仿宋_GB2312" w:hAnsi="微软雅黑" w:eastAsia="仿宋_GB2312" w:cs="仿宋_GB2312"/>
                <w:color w:val="333333"/>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仿宋_GB2312" w:hAnsi="微软雅黑" w:eastAsia="仿宋_GB2312" w:cs="仿宋_GB2312"/>
                <w:color w:val="333333"/>
                <w:sz w:val="21"/>
                <w:szCs w:val="21"/>
              </w:rPr>
              <w:t>规章</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微软雅黑" w:hAnsi="微软雅黑" w:eastAsia="微软雅黑" w:cs="微软雅黑"/>
                <w:color w:val="333333"/>
                <w:sz w:val="21"/>
                <w:szCs w:val="21"/>
              </w:rPr>
              <w:t>　　</w:t>
            </w:r>
            <w:r>
              <w:rPr>
                <w:rFonts w:hint="eastAsia" w:ascii="仿宋_GB2312" w:hAnsi="微软雅黑" w:eastAsia="仿宋_GB2312" w:cs="仿宋_GB2312"/>
                <w:color w:val="333333"/>
                <w:sz w:val="21"/>
                <w:szCs w:val="21"/>
              </w:rPr>
              <w:t>0</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仿宋_GB2312" w:hAnsi="微软雅黑" w:eastAsia="仿宋_GB2312" w:cs="仿宋_GB2312"/>
                <w:color w:val="333333"/>
                <w:sz w:val="21"/>
                <w:szCs w:val="21"/>
              </w:rPr>
              <w:t> 　0</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微软雅黑" w:hAnsi="微软雅黑" w:eastAsia="微软雅黑" w:cs="微软雅黑"/>
                <w:color w:val="333333"/>
                <w:sz w:val="21"/>
                <w:szCs w:val="21"/>
              </w:rPr>
              <w:t>　</w:t>
            </w: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仿宋_GB2312" w:hAnsi="微软雅黑" w:eastAsia="仿宋_GB2312" w:cs="仿宋_GB2312"/>
                <w:color w:val="333333"/>
                <w:sz w:val="21"/>
                <w:szCs w:val="21"/>
              </w:rPr>
              <w:t>行政规范性文件</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微软雅黑" w:hAnsi="微软雅黑" w:eastAsia="微软雅黑" w:cs="微软雅黑"/>
                <w:color w:val="333333"/>
                <w:sz w:val="21"/>
                <w:szCs w:val="21"/>
              </w:rPr>
              <w:t>　　</w:t>
            </w:r>
            <w:r>
              <w:rPr>
                <w:rFonts w:hint="eastAsia" w:ascii="仿宋_GB2312" w:hAnsi="微软雅黑" w:eastAsia="仿宋_GB2312" w:cs="仿宋_GB2312"/>
                <w:color w:val="333333"/>
                <w:sz w:val="21"/>
                <w:szCs w:val="21"/>
              </w:rPr>
              <w:t>0</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仿宋_GB2312" w:hAnsi="微软雅黑" w:eastAsia="仿宋_GB2312" w:cs="仿宋_GB2312"/>
                <w:color w:val="333333"/>
                <w:sz w:val="21"/>
                <w:szCs w:val="21"/>
              </w:rPr>
              <w:t> 　0</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微软雅黑" w:hAnsi="微软雅黑" w:eastAsia="微软雅黑" w:cs="微软雅黑"/>
                <w:color w:val="333333"/>
                <w:sz w:val="21"/>
                <w:szCs w:val="21"/>
              </w:rPr>
              <w:t>　</w:t>
            </w: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8820"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仿宋_GB2312" w:hAnsi="微软雅黑" w:eastAsia="仿宋_GB2312" w:cs="仿宋_GB2312"/>
                <w:color w:val="333333"/>
                <w:sz w:val="21"/>
                <w:szCs w:val="21"/>
              </w:rPr>
              <w:t>信息内容</w:t>
            </w:r>
          </w:p>
        </w:tc>
        <w:tc>
          <w:tcPr>
            <w:tcW w:w="661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仿宋_GB2312" w:hAnsi="微软雅黑" w:eastAsia="仿宋_GB2312" w:cs="仿宋_GB2312"/>
                <w:color w:val="333333"/>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仿宋_GB2312" w:hAnsi="微软雅黑" w:eastAsia="仿宋_GB2312" w:cs="仿宋_GB2312"/>
                <w:color w:val="333333"/>
                <w:sz w:val="21"/>
                <w:szCs w:val="21"/>
              </w:rPr>
              <w:t>行政许可</w:t>
            </w:r>
          </w:p>
        </w:tc>
        <w:tc>
          <w:tcPr>
            <w:tcW w:w="661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微软雅黑" w:hAnsi="微软雅黑" w:eastAsia="微软雅黑" w:cs="微软雅黑"/>
                <w:color w:val="333333"/>
                <w:sz w:val="21"/>
                <w:szCs w:val="21"/>
              </w:rPr>
              <w:t>　</w:t>
            </w: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8820"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仿宋_GB2312" w:hAnsi="微软雅黑" w:eastAsia="仿宋_GB2312" w:cs="仿宋_GB2312"/>
                <w:color w:val="333333"/>
                <w:sz w:val="21"/>
                <w:szCs w:val="21"/>
              </w:rPr>
              <w:t>信息内容</w:t>
            </w:r>
          </w:p>
        </w:tc>
        <w:tc>
          <w:tcPr>
            <w:tcW w:w="661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仿宋_GB2312" w:hAnsi="微软雅黑" w:eastAsia="仿宋_GB2312" w:cs="仿宋_GB2312"/>
                <w:color w:val="333333"/>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仿宋_GB2312" w:hAnsi="微软雅黑" w:eastAsia="仿宋_GB2312" w:cs="仿宋_GB2312"/>
                <w:color w:val="333333"/>
                <w:sz w:val="21"/>
                <w:szCs w:val="21"/>
              </w:rPr>
              <w:t>行政处罚</w:t>
            </w:r>
          </w:p>
        </w:tc>
        <w:tc>
          <w:tcPr>
            <w:tcW w:w="661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微软雅黑" w:hAnsi="微软雅黑" w:eastAsia="微软雅黑" w:cs="微软雅黑"/>
                <w:color w:val="333333"/>
                <w:sz w:val="21"/>
                <w:szCs w:val="21"/>
              </w:rPr>
              <w:t>　</w:t>
            </w: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仿宋_GB2312" w:hAnsi="微软雅黑" w:eastAsia="仿宋_GB2312" w:cs="仿宋_GB2312"/>
                <w:color w:val="333333"/>
                <w:sz w:val="21"/>
                <w:szCs w:val="21"/>
              </w:rPr>
              <w:t>行政强制</w:t>
            </w:r>
          </w:p>
        </w:tc>
        <w:tc>
          <w:tcPr>
            <w:tcW w:w="661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微软雅黑" w:hAnsi="微软雅黑" w:eastAsia="微软雅黑" w:cs="微软雅黑"/>
                <w:color w:val="333333"/>
                <w:sz w:val="21"/>
                <w:szCs w:val="21"/>
              </w:rPr>
              <w:t>　</w:t>
            </w: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8820"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仿宋_GB2312" w:hAnsi="微软雅黑" w:eastAsia="仿宋_GB2312" w:cs="仿宋_GB2312"/>
                <w:color w:val="333333"/>
                <w:sz w:val="21"/>
                <w:szCs w:val="21"/>
              </w:rPr>
              <w:t>信息内容</w:t>
            </w:r>
          </w:p>
        </w:tc>
        <w:tc>
          <w:tcPr>
            <w:tcW w:w="661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仿宋_GB2312" w:hAnsi="微软雅黑" w:eastAsia="仿宋_GB2312" w:cs="仿宋_GB2312"/>
                <w:color w:val="333333"/>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trPr>
        <w:tc>
          <w:tcPr>
            <w:tcW w:w="22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仿宋_GB2312" w:hAnsi="微软雅黑" w:eastAsia="仿宋_GB2312" w:cs="仿宋_GB2312"/>
                <w:color w:val="333333"/>
                <w:sz w:val="21"/>
                <w:szCs w:val="21"/>
              </w:rPr>
              <w:t>行政事业性收费</w:t>
            </w:r>
          </w:p>
        </w:tc>
        <w:tc>
          <w:tcPr>
            <w:tcW w:w="661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微软雅黑" w:hAnsi="微软雅黑" w:eastAsia="微软雅黑" w:cs="微软雅黑"/>
                <w:color w:val="333333"/>
                <w:sz w:val="21"/>
                <w:szCs w:val="21"/>
              </w:rPr>
              <w:t>　</w:t>
            </w:r>
            <w:r>
              <w:rPr>
                <w:rFonts w:hint="eastAsia" w:ascii="仿宋_GB2312" w:hAnsi="微软雅黑" w:eastAsia="仿宋_GB2312" w:cs="仿宋_GB2312"/>
                <w:color w:val="333333"/>
                <w:sz w:val="21"/>
                <w:szCs w:val="21"/>
              </w:rPr>
              <w:t>0</w:t>
            </w:r>
          </w:p>
        </w:tc>
      </w:tr>
    </w:tbl>
    <w:p>
      <w:pPr>
        <w:pStyle w:val="2"/>
        <w:keepNext w:val="0"/>
        <w:keepLines w:val="0"/>
        <w:widowControl/>
        <w:suppressLineNumbers w:val="0"/>
        <w:spacing w:before="0" w:beforeAutospacing="0" w:after="0" w:afterAutospacing="0" w:line="600" w:lineRule="atLeast"/>
        <w:ind w:left="0" w:right="0" w:firstLine="645"/>
        <w:jc w:val="both"/>
        <w:rPr>
          <w:color w:val="333333"/>
          <w:sz w:val="22"/>
          <w:szCs w:val="22"/>
        </w:rPr>
      </w:pPr>
      <w:r>
        <w:rPr>
          <w:rFonts w:hint="eastAsia" w:ascii="方正黑体_GBK" w:hAnsi="方正黑体_GBK" w:eastAsia="方正黑体_GBK" w:cs="方正黑体_GBK"/>
          <w:sz w:val="32"/>
          <w:szCs w:val="32"/>
        </w:rPr>
        <w:t>三、收到和处理政府信息公开申请情况</w:t>
      </w:r>
      <w:r>
        <w:rPr>
          <w:rFonts w:hint="eastAsia" w:ascii="黑体" w:hAnsi="宋体" w:eastAsia="黑体" w:cs="黑体"/>
          <w:color w:val="333333"/>
          <w:sz w:val="31"/>
          <w:szCs w:val="31"/>
          <w:shd w:val="clear" w:fill="EDEDED"/>
        </w:rPr>
        <w:t> </w:t>
      </w:r>
    </w:p>
    <w:tbl>
      <w:tblPr>
        <w:tblStyle w:val="3"/>
        <w:tblW w:w="9915"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5"/>
        <w:gridCol w:w="1626"/>
        <w:gridCol w:w="2727"/>
        <w:gridCol w:w="811"/>
        <w:gridCol w:w="586"/>
        <w:gridCol w:w="586"/>
        <w:gridCol w:w="731"/>
        <w:gridCol w:w="705"/>
        <w:gridCol w:w="586"/>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jc w:val="center"/>
        </w:trPr>
        <w:tc>
          <w:tcPr>
            <w:tcW w:w="5013"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ascii="楷体_GB2312" w:hAnsi="微软雅黑" w:eastAsia="楷体_GB2312" w:cs="楷体_GB2312"/>
                <w:color w:val="333333"/>
                <w:sz w:val="21"/>
                <w:szCs w:val="21"/>
              </w:rPr>
              <w:t>（本列数据的勾稽关系为：第一项加第二项之和，</w:t>
            </w:r>
          </w:p>
          <w:p>
            <w:pPr>
              <w:pStyle w:val="2"/>
              <w:keepNext w:val="0"/>
              <w:keepLines w:val="0"/>
              <w:widowControl/>
              <w:suppressLineNumbers w:val="0"/>
              <w:spacing w:line="540" w:lineRule="atLeast"/>
              <w:jc w:val="center"/>
              <w:rPr>
                <w:color w:val="333333"/>
                <w:sz w:val="21"/>
                <w:szCs w:val="21"/>
              </w:rPr>
            </w:pPr>
            <w:r>
              <w:rPr>
                <w:rFonts w:hint="eastAsia" w:ascii="楷体_GB2312" w:hAnsi="微软雅黑" w:eastAsia="楷体_GB2312" w:cs="楷体_GB2312"/>
                <w:color w:val="333333"/>
                <w:sz w:val="21"/>
                <w:szCs w:val="21"/>
              </w:rPr>
              <w:t>等于第三项加第四项之和）</w:t>
            </w:r>
          </w:p>
        </w:tc>
        <w:tc>
          <w:tcPr>
            <w:tcW w:w="4812"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15" w:lineRule="atLeast"/>
              <w:jc w:val="center"/>
              <w:rPr>
                <w:color w:val="333333"/>
                <w:sz w:val="21"/>
                <w:szCs w:val="21"/>
              </w:rPr>
            </w:pPr>
            <w:r>
              <w:rPr>
                <w:rFonts w:hint="eastAsia" w:ascii="黑体" w:hAnsi="宋体" w:eastAsia="黑体" w:cs="黑体"/>
                <w:color w:val="333333"/>
                <w:sz w:val="21"/>
                <w:szCs w:val="21"/>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blCellSpacing w:w="15" w:type="dxa"/>
          <w:jc w:val="center"/>
        </w:trPr>
        <w:tc>
          <w:tcPr>
            <w:tcW w:w="501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781"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21"/>
                <w:szCs w:val="21"/>
              </w:rPr>
              <w:t>自然人</w:t>
            </w:r>
          </w:p>
        </w:tc>
        <w:tc>
          <w:tcPr>
            <w:tcW w:w="3164"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15" w:lineRule="atLeast"/>
              <w:jc w:val="center"/>
              <w:rPr>
                <w:color w:val="333333"/>
                <w:sz w:val="21"/>
                <w:szCs w:val="21"/>
              </w:rPr>
            </w:pPr>
            <w:r>
              <w:rPr>
                <w:rFonts w:hint="eastAsia" w:ascii="黑体" w:hAnsi="宋体" w:eastAsia="黑体" w:cs="黑体"/>
                <w:color w:val="333333"/>
                <w:sz w:val="21"/>
                <w:szCs w:val="21"/>
              </w:rPr>
              <w:t>法人或其他组织</w:t>
            </w:r>
          </w:p>
        </w:tc>
        <w:tc>
          <w:tcPr>
            <w:tcW w:w="80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21"/>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blCellSpacing w:w="15" w:type="dxa"/>
          <w:jc w:val="center"/>
        </w:trPr>
        <w:tc>
          <w:tcPr>
            <w:tcW w:w="501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15" w:lineRule="atLeast"/>
              <w:jc w:val="center"/>
              <w:rPr>
                <w:color w:val="333333"/>
                <w:sz w:val="21"/>
                <w:szCs w:val="21"/>
              </w:rPr>
            </w:pPr>
            <w:r>
              <w:rPr>
                <w:rFonts w:hint="eastAsia" w:ascii="黑体" w:hAnsi="宋体" w:eastAsia="黑体" w:cs="黑体"/>
                <w:color w:val="333333"/>
                <w:sz w:val="21"/>
                <w:szCs w:val="21"/>
              </w:rPr>
              <w:t>商业企业</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15" w:lineRule="atLeast"/>
              <w:jc w:val="center"/>
              <w:rPr>
                <w:color w:val="333333"/>
                <w:sz w:val="21"/>
                <w:szCs w:val="21"/>
              </w:rPr>
            </w:pPr>
            <w:r>
              <w:rPr>
                <w:rFonts w:hint="eastAsia" w:ascii="黑体" w:hAnsi="宋体" w:eastAsia="黑体" w:cs="黑体"/>
                <w:color w:val="333333"/>
                <w:sz w:val="21"/>
                <w:szCs w:val="21"/>
              </w:rPr>
              <w:t>科研机构</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15" w:lineRule="atLeast"/>
              <w:jc w:val="center"/>
              <w:rPr>
                <w:color w:val="333333"/>
                <w:sz w:val="21"/>
                <w:szCs w:val="21"/>
              </w:rPr>
            </w:pPr>
            <w:r>
              <w:rPr>
                <w:rFonts w:hint="eastAsia" w:ascii="黑体" w:hAnsi="宋体" w:eastAsia="黑体" w:cs="黑体"/>
                <w:color w:val="333333"/>
                <w:sz w:val="21"/>
                <w:szCs w:val="21"/>
              </w:rPr>
              <w:t>社会公益组织</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15" w:lineRule="atLeast"/>
              <w:jc w:val="center"/>
              <w:rPr>
                <w:color w:val="333333"/>
                <w:sz w:val="21"/>
                <w:szCs w:val="21"/>
              </w:rPr>
            </w:pPr>
            <w:r>
              <w:rPr>
                <w:rFonts w:hint="eastAsia" w:ascii="黑体" w:hAnsi="宋体" w:eastAsia="黑体" w:cs="黑体"/>
                <w:color w:val="333333"/>
                <w:sz w:val="21"/>
                <w:szCs w:val="21"/>
              </w:rPr>
              <w:t>法律服务机构</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60" w:lineRule="atLeast"/>
              <w:jc w:val="center"/>
              <w:rPr>
                <w:color w:val="333333"/>
                <w:sz w:val="21"/>
                <w:szCs w:val="21"/>
              </w:rPr>
            </w:pPr>
            <w:r>
              <w:rPr>
                <w:rFonts w:hint="eastAsia" w:ascii="黑体" w:hAnsi="宋体" w:eastAsia="黑体" w:cs="黑体"/>
                <w:color w:val="333333"/>
                <w:sz w:val="21"/>
                <w:szCs w:val="21"/>
              </w:rPr>
              <w:t>其他</w:t>
            </w:r>
          </w:p>
        </w:tc>
        <w:tc>
          <w:tcPr>
            <w:tcW w:w="8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blCellSpacing w:w="15" w:type="dxa"/>
          <w:jc w:val="center"/>
        </w:trPr>
        <w:tc>
          <w:tcPr>
            <w:tcW w:w="501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黑体" w:hAnsi="宋体" w:eastAsia="黑体" w:cs="黑体"/>
                <w:color w:val="333333"/>
                <w:sz w:val="21"/>
                <w:szCs w:val="21"/>
              </w:rPr>
              <w:t>一、</w:t>
            </w:r>
            <w:r>
              <w:rPr>
                <w:rFonts w:hint="eastAsia" w:ascii="黑体" w:hAnsi="宋体" w:eastAsia="黑体" w:cs="黑体"/>
                <w:color w:val="333333"/>
                <w:sz w:val="21"/>
                <w:szCs w:val="21"/>
                <w:u w:val="none"/>
              </w:rPr>
              <w:t>本年新收政府信息公开申请数量</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 w:hRule="atLeast"/>
          <w:tblCellSpacing w:w="15" w:type="dxa"/>
          <w:jc w:val="center"/>
        </w:trPr>
        <w:tc>
          <w:tcPr>
            <w:tcW w:w="501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黑体" w:hAnsi="宋体" w:eastAsia="黑体" w:cs="黑体"/>
                <w:color w:val="333333"/>
                <w:sz w:val="21"/>
                <w:szCs w:val="21"/>
              </w:rPr>
              <w:t>二、上年结转政府信息公开申请数量</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66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rPr>
                <w:color w:val="333333"/>
                <w:sz w:val="21"/>
                <w:szCs w:val="21"/>
              </w:rPr>
            </w:pPr>
            <w:r>
              <w:rPr>
                <w:rFonts w:hint="eastAsia" w:ascii="黑体" w:hAnsi="宋体" w:eastAsia="黑体" w:cs="黑体"/>
                <w:color w:val="333333"/>
                <w:sz w:val="21"/>
                <w:szCs w:val="21"/>
              </w:rPr>
              <w:t>三、本年度办理结果</w:t>
            </w:r>
          </w:p>
        </w:tc>
        <w:tc>
          <w:tcPr>
            <w:tcW w:w="432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黑体" w:hAnsi="宋体" w:eastAsia="黑体" w:cs="黑体"/>
                <w:color w:val="333333"/>
                <w:sz w:val="21"/>
                <w:szCs w:val="21"/>
              </w:rPr>
              <w:t>（一）予以公开</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432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rPr>
                <w:color w:val="333333"/>
                <w:sz w:val="21"/>
                <w:szCs w:val="21"/>
              </w:rPr>
            </w:pPr>
            <w:r>
              <w:rPr>
                <w:rFonts w:hint="eastAsia" w:ascii="黑体" w:hAnsi="宋体" w:eastAsia="黑体" w:cs="黑体"/>
                <w:color w:val="333333"/>
                <w:sz w:val="21"/>
                <w:szCs w:val="21"/>
              </w:rPr>
              <w:t>（二）部分公开（</w:t>
            </w:r>
            <w:r>
              <w:rPr>
                <w:rFonts w:hint="eastAsia" w:ascii="黑体" w:hAnsi="宋体" w:eastAsia="黑体" w:cs="黑体"/>
                <w:color w:val="333333"/>
                <w:sz w:val="21"/>
                <w:szCs w:val="21"/>
                <w:u w:val="none"/>
              </w:rPr>
              <w:t>区分处理的，只计这一情形，不计其他情形</w:t>
            </w:r>
            <w:r>
              <w:rPr>
                <w:rFonts w:hint="eastAsia" w:ascii="黑体" w:hAnsi="宋体" w:eastAsia="黑体" w:cs="黑体"/>
                <w:color w:val="333333"/>
                <w:sz w:val="21"/>
                <w:szCs w:val="21"/>
              </w:rPr>
              <w:t>）</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黑体" w:hAnsi="宋体" w:eastAsia="黑体" w:cs="黑体"/>
                <w:color w:val="333333"/>
                <w:sz w:val="21"/>
                <w:szCs w:val="21"/>
              </w:rPr>
              <w:t>（三）不予公开</w:t>
            </w: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1.属于国家秘密</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2.</w:t>
            </w:r>
            <w:r>
              <w:rPr>
                <w:rFonts w:hint="eastAsia" w:ascii="仿宋_GB2312" w:hAnsi="微软雅黑" w:eastAsia="仿宋_GB2312" w:cs="仿宋_GB2312"/>
                <w:color w:val="333333"/>
                <w:sz w:val="21"/>
                <w:szCs w:val="21"/>
                <w:u w:val="none"/>
              </w:rPr>
              <w:t>其他法律行政法规禁止公开</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3.危及“三安全一稳定”</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4.</w:t>
            </w:r>
            <w:r>
              <w:rPr>
                <w:rFonts w:hint="eastAsia" w:ascii="仿宋_GB2312" w:hAnsi="微软雅黑" w:eastAsia="仿宋_GB2312" w:cs="仿宋_GB2312"/>
                <w:color w:val="333333"/>
                <w:sz w:val="21"/>
                <w:szCs w:val="21"/>
                <w:u w:val="none"/>
              </w:rPr>
              <w:t>保护第三方合法权益</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5.属于三类内部事务信息</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6.</w:t>
            </w:r>
            <w:r>
              <w:rPr>
                <w:rFonts w:hint="eastAsia" w:ascii="仿宋_GB2312" w:hAnsi="微软雅黑" w:eastAsia="仿宋_GB2312" w:cs="仿宋_GB2312"/>
                <w:color w:val="333333"/>
                <w:sz w:val="21"/>
                <w:szCs w:val="21"/>
                <w:u w:val="none"/>
              </w:rPr>
              <w:t>属于四类过程性信息</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7.属于行政执法案卷</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8.</w:t>
            </w:r>
            <w:r>
              <w:rPr>
                <w:rFonts w:hint="eastAsia" w:ascii="仿宋_GB2312" w:hAnsi="微软雅黑" w:eastAsia="仿宋_GB2312" w:cs="仿宋_GB2312"/>
                <w:color w:val="333333"/>
                <w:sz w:val="21"/>
                <w:szCs w:val="21"/>
                <w:u w:val="none"/>
              </w:rPr>
              <w:t>属于行政查询事项</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黑体" w:hAnsi="宋体" w:eastAsia="黑体" w:cs="黑体"/>
                <w:color w:val="333333"/>
                <w:sz w:val="21"/>
                <w:szCs w:val="21"/>
              </w:rPr>
              <w:t>（四）无法提供</w:t>
            </w: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1.本机关不掌握相关政府信息</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2.</w:t>
            </w:r>
            <w:r>
              <w:rPr>
                <w:rFonts w:hint="eastAsia" w:ascii="仿宋_GB2312" w:hAnsi="微软雅黑" w:eastAsia="仿宋_GB2312" w:cs="仿宋_GB2312"/>
                <w:color w:val="333333"/>
                <w:sz w:val="21"/>
                <w:szCs w:val="21"/>
                <w:u w:val="none"/>
              </w:rPr>
              <w:t>没有现成信息需要另行制作</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3.</w:t>
            </w:r>
            <w:r>
              <w:rPr>
                <w:rFonts w:hint="eastAsia" w:ascii="仿宋_GB2312" w:hAnsi="微软雅黑" w:eastAsia="仿宋_GB2312" w:cs="仿宋_GB2312"/>
                <w:color w:val="333333"/>
                <w:sz w:val="21"/>
                <w:szCs w:val="21"/>
                <w:u w:val="none"/>
              </w:rPr>
              <w:t>补正后申请内容仍不明确</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黑体" w:hAnsi="宋体" w:eastAsia="黑体" w:cs="黑体"/>
                <w:color w:val="333333"/>
                <w:sz w:val="21"/>
                <w:szCs w:val="21"/>
              </w:rPr>
              <w:t>（五）不予处理</w:t>
            </w: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1.</w:t>
            </w:r>
            <w:r>
              <w:rPr>
                <w:rFonts w:hint="eastAsia" w:ascii="仿宋_GB2312" w:hAnsi="微软雅黑" w:eastAsia="仿宋_GB2312" w:cs="仿宋_GB2312"/>
                <w:color w:val="333333"/>
                <w:sz w:val="21"/>
                <w:szCs w:val="21"/>
                <w:u w:val="none"/>
              </w:rPr>
              <w:t>信访举报投诉类申请</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2.重复申请</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3.要求提供公开出版物</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rPr>
                <w:color w:val="333333"/>
                <w:sz w:val="21"/>
                <w:szCs w:val="21"/>
              </w:rPr>
            </w:pPr>
            <w:r>
              <w:rPr>
                <w:rFonts w:hint="eastAsia" w:ascii="仿宋_GB2312" w:hAnsi="微软雅黑" w:eastAsia="仿宋_GB2312" w:cs="仿宋_GB2312"/>
                <w:color w:val="333333"/>
                <w:sz w:val="21"/>
                <w:szCs w:val="21"/>
              </w:rPr>
              <w:t>4.无正当理由大量反复申请</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00" w:lineRule="atLeast"/>
              <w:rPr>
                <w:color w:val="333333"/>
                <w:sz w:val="21"/>
                <w:szCs w:val="21"/>
              </w:rPr>
            </w:pPr>
            <w:r>
              <w:rPr>
                <w:rFonts w:hint="eastAsia" w:ascii="仿宋_GB2312" w:hAnsi="微软雅黑" w:eastAsia="仿宋_GB2312" w:cs="仿宋_GB2312"/>
                <w:color w:val="333333"/>
                <w:sz w:val="21"/>
                <w:szCs w:val="21"/>
              </w:rPr>
              <w:t>5.要求行政机关确认或重新</w:t>
            </w:r>
          </w:p>
          <w:p>
            <w:pPr>
              <w:pStyle w:val="2"/>
              <w:keepNext w:val="0"/>
              <w:keepLines w:val="0"/>
              <w:widowControl/>
              <w:suppressLineNumbers w:val="0"/>
              <w:spacing w:line="300" w:lineRule="atLeast"/>
              <w:ind w:left="0" w:firstLine="210"/>
              <w:rPr>
                <w:color w:val="333333"/>
                <w:sz w:val="21"/>
                <w:szCs w:val="21"/>
              </w:rPr>
            </w:pPr>
            <w:r>
              <w:rPr>
                <w:rFonts w:hint="eastAsia" w:ascii="仿宋_GB2312" w:hAnsi="微软雅黑" w:eastAsia="仿宋_GB2312" w:cs="仿宋_GB2312"/>
                <w:color w:val="333333"/>
                <w:sz w:val="21"/>
                <w:szCs w:val="21"/>
              </w:rPr>
              <w:t>出具已获取信息</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00" w:lineRule="atLeast"/>
              <w:rPr>
                <w:color w:val="333333"/>
                <w:sz w:val="21"/>
                <w:szCs w:val="21"/>
              </w:rPr>
            </w:pPr>
            <w:r>
              <w:rPr>
                <w:rFonts w:hint="eastAsia" w:ascii="黑体" w:hAnsi="宋体" w:eastAsia="黑体" w:cs="黑体"/>
                <w:color w:val="333333"/>
                <w:sz w:val="21"/>
                <w:szCs w:val="21"/>
              </w:rPr>
              <w:t>（六）其他处理</w:t>
            </w: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line="300" w:lineRule="atLeast"/>
              <w:rPr>
                <w:color w:val="333333"/>
                <w:sz w:val="21"/>
                <w:szCs w:val="21"/>
              </w:rPr>
            </w:pPr>
            <w:r>
              <w:rPr>
                <w:rFonts w:hint="eastAsia" w:ascii="仿宋_GB2312" w:hAnsi="微软雅黑" w:eastAsia="仿宋_GB2312" w:cs="仿宋_GB2312"/>
                <w:color w:val="333333"/>
                <w:sz w:val="21"/>
                <w:szCs w:val="21"/>
              </w:rPr>
              <w:t>1.申请人无正当理由逾期不补正、行政机关不再处理其政府信息公开申请</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line="300" w:lineRule="atLeast"/>
              <w:rPr>
                <w:color w:val="333333"/>
                <w:sz w:val="21"/>
                <w:szCs w:val="21"/>
              </w:rPr>
            </w:pPr>
            <w:r>
              <w:rPr>
                <w:rFonts w:hint="eastAsia" w:ascii="仿宋_GB2312" w:hAnsi="微软雅黑" w:eastAsia="仿宋_GB2312" w:cs="仿宋_GB2312"/>
                <w:color w:val="333333"/>
                <w:sz w:val="21"/>
                <w:szCs w:val="21"/>
              </w:rPr>
              <w:t>2.申请人逾期未按收费通知要求缴纳费用、行政机关不再处理其政府信息公开申请</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159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26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line="300" w:lineRule="atLeast"/>
              <w:rPr>
                <w:color w:val="333333"/>
                <w:sz w:val="21"/>
                <w:szCs w:val="21"/>
              </w:rPr>
            </w:pPr>
            <w:r>
              <w:rPr>
                <w:rFonts w:hint="eastAsia" w:ascii="仿宋_GB2312" w:hAnsi="微软雅黑" w:eastAsia="仿宋_GB2312" w:cs="仿宋_GB2312"/>
                <w:color w:val="333333"/>
                <w:sz w:val="21"/>
                <w:szCs w:val="21"/>
              </w:rPr>
              <w:t>3.其他</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432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00" w:lineRule="atLeast"/>
              <w:rPr>
                <w:color w:val="333333"/>
                <w:sz w:val="21"/>
                <w:szCs w:val="21"/>
              </w:rPr>
            </w:pPr>
            <w:r>
              <w:rPr>
                <w:rFonts w:hint="eastAsia" w:ascii="黑体" w:hAnsi="宋体" w:eastAsia="黑体" w:cs="黑体"/>
                <w:color w:val="333333"/>
                <w:sz w:val="21"/>
                <w:szCs w:val="21"/>
              </w:rPr>
              <w:t>（七）总计</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501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00" w:lineRule="atLeast"/>
              <w:rPr>
                <w:color w:val="333333"/>
                <w:sz w:val="21"/>
                <w:szCs w:val="21"/>
              </w:rPr>
            </w:pPr>
            <w:r>
              <w:rPr>
                <w:rFonts w:hint="eastAsia" w:ascii="黑体" w:hAnsi="宋体" w:eastAsia="黑体" w:cs="黑体"/>
                <w:color w:val="333333"/>
                <w:sz w:val="21"/>
                <w:szCs w:val="21"/>
              </w:rPr>
              <w:t>四、结转下年度继续办理</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7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55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c>
          <w:tcPr>
            <w:tcW w:w="8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rPr>
                <w:color w:val="333333"/>
                <w:sz w:val="21"/>
                <w:szCs w:val="21"/>
              </w:rPr>
            </w:pPr>
            <w:r>
              <w:rPr>
                <w:rFonts w:hint="eastAsia" w:ascii="仿宋_GB2312" w:hAnsi="微软雅黑" w:eastAsia="仿宋_GB2312" w:cs="仿宋_GB2312"/>
                <w:color w:val="333333"/>
                <w:sz w:val="21"/>
                <w:szCs w:val="21"/>
              </w:rPr>
              <w:t>0</w:t>
            </w:r>
          </w:p>
        </w:tc>
      </w:tr>
    </w:tbl>
    <w:p>
      <w:pPr>
        <w:pStyle w:val="2"/>
        <w:keepNext w:val="0"/>
        <w:keepLines w:val="0"/>
        <w:widowControl/>
        <w:suppressLineNumbers w:val="0"/>
        <w:spacing w:before="0" w:beforeAutospacing="0" w:after="0" w:afterAutospacing="0" w:line="600" w:lineRule="atLeast"/>
        <w:ind w:left="0" w:right="0" w:firstLine="645"/>
        <w:jc w:val="both"/>
        <w:rPr>
          <w:color w:val="333333"/>
          <w:sz w:val="22"/>
          <w:szCs w:val="22"/>
        </w:rPr>
      </w:pPr>
      <w:r>
        <w:rPr>
          <w:rFonts w:hint="eastAsia" w:ascii="方正黑体_GBK" w:hAnsi="方正黑体_GBK" w:eastAsia="方正黑体_GBK" w:cs="方正黑体_GBK"/>
          <w:sz w:val="32"/>
          <w:szCs w:val="32"/>
        </w:rPr>
        <w:t>四、政府信息公开行政复议、行政诉讼情况</w:t>
      </w:r>
    </w:p>
    <w:tbl>
      <w:tblPr>
        <w:tblStyle w:val="3"/>
        <w:tblW w:w="9075"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9"/>
        <w:gridCol w:w="602"/>
        <w:gridCol w:w="602"/>
        <w:gridCol w:w="602"/>
        <w:gridCol w:w="653"/>
        <w:gridCol w:w="564"/>
        <w:gridCol w:w="602"/>
        <w:gridCol w:w="602"/>
        <w:gridCol w:w="602"/>
        <w:gridCol w:w="602"/>
        <w:gridCol w:w="602"/>
        <w:gridCol w:w="602"/>
        <w:gridCol w:w="602"/>
        <w:gridCol w:w="602"/>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600" w:lineRule="atLeast"/>
              <w:ind w:left="0" w:right="0" w:firstLine="480"/>
              <w:jc w:val="both"/>
              <w:rPr>
                <w:color w:val="333333"/>
                <w:sz w:val="21"/>
                <w:szCs w:val="21"/>
              </w:rPr>
            </w:pPr>
            <w:r>
              <w:rPr>
                <w:rFonts w:hint="default" w:ascii="Times New Roman" w:hAnsi="Times New Roman" w:eastAsia="微软雅黑" w:cs="Times New Roman"/>
                <w:color w:val="333333"/>
                <w:sz w:val="24"/>
                <w:szCs w:val="24"/>
                <w:shd w:val="clear" w:fill="EDEDED"/>
              </w:rPr>
              <w:t> </w:t>
            </w:r>
            <w:r>
              <w:rPr>
                <w:rFonts w:hint="eastAsia" w:ascii="黑体" w:hAnsi="宋体" w:eastAsia="黑体" w:cs="黑体"/>
                <w:color w:val="333333"/>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blCellSpacing w:w="15" w:type="dxa"/>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结果</w:t>
            </w:r>
          </w:p>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尚未</w:t>
            </w:r>
          </w:p>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15" w:lineRule="atLeast"/>
              <w:jc w:val="center"/>
              <w:rPr>
                <w:color w:val="333333"/>
                <w:sz w:val="21"/>
                <w:szCs w:val="21"/>
              </w:rPr>
            </w:pPr>
            <w:r>
              <w:rPr>
                <w:rFonts w:hint="eastAsia" w:ascii="黑体" w:hAnsi="宋体" w:eastAsia="黑体" w:cs="黑体"/>
                <w:color w:val="333333"/>
                <w:sz w:val="19"/>
                <w:szCs w:val="19"/>
              </w:rPr>
              <w:t>总</w:t>
            </w:r>
          </w:p>
          <w:p>
            <w:pPr>
              <w:pStyle w:val="2"/>
              <w:keepNext w:val="0"/>
              <w:keepLines w:val="0"/>
              <w:widowControl/>
              <w:suppressLineNumbers w:val="0"/>
              <w:spacing w:line="315" w:lineRule="atLeast"/>
              <w:jc w:val="center"/>
              <w:rPr>
                <w:color w:val="333333"/>
                <w:sz w:val="21"/>
                <w:szCs w:val="21"/>
              </w:rPr>
            </w:pPr>
            <w:r>
              <w:rPr>
                <w:rFonts w:hint="eastAsia" w:ascii="黑体" w:hAnsi="宋体" w:eastAsia="黑体" w:cs="黑体"/>
                <w:color w:val="333333"/>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u w:val="none"/>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blCellSpacing w:w="15" w:type="dxa"/>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1"/>
                <w:szCs w:val="21"/>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其他</w:t>
            </w:r>
          </w:p>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尚未</w:t>
            </w:r>
          </w:p>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结果</w:t>
            </w:r>
          </w:p>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其他</w:t>
            </w:r>
          </w:p>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540" w:lineRule="atLeast"/>
              <w:jc w:val="center"/>
              <w:rPr>
                <w:color w:val="333333"/>
                <w:sz w:val="21"/>
                <w:szCs w:val="21"/>
              </w:rPr>
            </w:pPr>
            <w:r>
              <w:rPr>
                <w:rFonts w:hint="eastAsia" w:ascii="黑体" w:hAnsi="宋体" w:eastAsia="黑体" w:cs="黑体"/>
                <w:color w:val="333333"/>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rPr>
                <w:color w:val="333333"/>
                <w:sz w:val="21"/>
                <w:szCs w:val="21"/>
              </w:rPr>
            </w:pPr>
            <w:r>
              <w:rPr>
                <w:rFonts w:hint="eastAsia" w:ascii="宋体" w:hAnsi="宋体" w:eastAsia="宋体" w:cs="宋体"/>
                <w:color w:val="333333"/>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line="540" w:lineRule="atLeast"/>
              <w:jc w:val="center"/>
              <w:rPr>
                <w:color w:val="333333"/>
                <w:sz w:val="21"/>
                <w:szCs w:val="21"/>
              </w:rPr>
            </w:pPr>
            <w:r>
              <w:rPr>
                <w:rFonts w:hint="eastAsia" w:ascii="宋体" w:hAnsi="宋体" w:eastAsia="宋体" w:cs="宋体"/>
                <w:color w:val="333333"/>
                <w:sz w:val="21"/>
                <w:szCs w:val="21"/>
              </w:rPr>
              <w:t>0</w:t>
            </w:r>
          </w:p>
        </w:tc>
      </w:tr>
    </w:tbl>
    <w:p>
      <w:pPr>
        <w:pStyle w:val="2"/>
        <w:keepNext w:val="0"/>
        <w:keepLines w:val="0"/>
        <w:widowControl/>
        <w:suppressLineNumbers w:val="0"/>
        <w:spacing w:before="0" w:beforeAutospacing="0" w:after="0" w:afterAutospacing="0" w:line="600" w:lineRule="atLeast"/>
        <w:ind w:left="0" w:right="0" w:firstLine="645"/>
        <w:jc w:val="both"/>
        <w:rPr>
          <w:color w:val="333333"/>
          <w:sz w:val="22"/>
          <w:szCs w:val="22"/>
        </w:rPr>
      </w:pPr>
      <w:r>
        <w:rPr>
          <w:rFonts w:hint="eastAsia" w:ascii="方正黑体_GBK" w:hAnsi="方正黑体_GBK" w:eastAsia="方正黑体_GBK" w:cs="方正黑体_GBK"/>
          <w:sz w:val="32"/>
          <w:szCs w:val="32"/>
        </w:rPr>
        <w:t>五、存在的主要问题及改进情况</w:t>
      </w:r>
    </w:p>
    <w:p>
      <w:pPr>
        <w:pStyle w:val="2"/>
        <w:keepNext w:val="0"/>
        <w:keepLines w:val="0"/>
        <w:widowControl/>
        <w:suppressLineNumbers w:val="0"/>
        <w:spacing w:before="0" w:beforeAutospacing="0" w:after="0" w:afterAutospacing="0" w:line="54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（一）存在的主要问题</w:t>
      </w:r>
    </w:p>
    <w:p>
      <w:pPr>
        <w:pStyle w:val="2"/>
        <w:keepNext w:val="0"/>
        <w:keepLines w:val="0"/>
        <w:widowControl/>
        <w:suppressLineNumbers w:val="0"/>
        <w:spacing w:before="0" w:beforeAutospacing="0" w:after="0" w:afterAutospacing="0" w:line="540" w:lineRule="atLeast"/>
        <w:ind w:left="0" w:right="0" w:firstLine="42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年，街道信息公开工作不断完善，但也存在</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问题。一是信息公开维护、管理更新不及时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发布的信息不够详细</w:t>
      </w:r>
      <w:r>
        <w:rPr>
          <w:rFonts w:hint="eastAsia" w:ascii="仿宋_GB2312" w:hAnsi="仿宋_GB2312" w:eastAsia="仿宋_GB2312" w:cs="仿宋_GB2312"/>
          <w:sz w:val="32"/>
          <w:szCs w:val="32"/>
        </w:rPr>
        <w:t>；二是公开政务信息的力度仍有待进一步加强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对上级文件的领会有待提高</w:t>
      </w:r>
      <w:r>
        <w:rPr>
          <w:rFonts w:hint="eastAsia" w:ascii="仿宋_GB2312" w:hAnsi="仿宋_GB2312" w:eastAsia="仿宋_GB2312" w:cs="仿宋_GB2312"/>
          <w:sz w:val="32"/>
          <w:szCs w:val="32"/>
        </w:rPr>
        <w:t>；三是人员队伍专业性有待</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加强。</w:t>
      </w:r>
    </w:p>
    <w:p>
      <w:pPr>
        <w:pStyle w:val="2"/>
        <w:keepNext w:val="0"/>
        <w:keepLines w:val="0"/>
        <w:widowControl/>
        <w:suppressLineNumbers w:val="0"/>
        <w:spacing w:before="0" w:beforeAutospacing="0" w:after="0" w:afterAutospacing="0" w:line="540" w:lineRule="atLeast"/>
        <w:ind w:left="0" w:right="0" w:firstLine="420"/>
        <w:rPr>
          <w:color w:val="333333"/>
          <w:sz w:val="22"/>
          <w:szCs w:val="22"/>
        </w:rPr>
      </w:pPr>
      <w:r>
        <w:rPr>
          <w:rFonts w:hint="eastAsia" w:ascii="仿宋_GB2312" w:hAnsi="仿宋_GB2312" w:eastAsia="仿宋_GB2312" w:cs="仿宋_GB2312"/>
          <w:sz w:val="32"/>
          <w:szCs w:val="32"/>
        </w:rPr>
        <w:t>（二）下一步改进措施</w:t>
      </w:r>
    </w:p>
    <w:p>
      <w:pPr>
        <w:pStyle w:val="2"/>
        <w:keepNext w:val="0"/>
        <w:keepLines w:val="0"/>
        <w:widowControl/>
        <w:suppressLineNumbers w:val="0"/>
        <w:spacing w:before="0" w:beforeAutospacing="0" w:after="0" w:afterAutospacing="0" w:line="54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健全</w:t>
      </w:r>
      <w:r>
        <w:rPr>
          <w:rFonts w:hint="eastAsia" w:ascii="仿宋_GB2312" w:hAnsi="仿宋_GB2312" w:eastAsia="仿宋_GB2312" w:cs="仿宋_GB2312"/>
          <w:sz w:val="32"/>
          <w:szCs w:val="32"/>
        </w:rPr>
        <w:t>公开制度。理顺工作机制，规范公开内容，提高公开质量，对涉及人民群众关心的重大问题，重大信息、决策应及时公开，提高公开针对性。二是继续加大信息公开力度。高效使用网络政务公开平台，</w:t>
      </w:r>
      <w:r>
        <w:rPr>
          <w:rFonts w:hint="eastAsia" w:ascii="仿宋_GB2312" w:hAnsi="仿宋_GB2312" w:eastAsia="仿宋_GB2312" w:cs="仿宋_GB2312"/>
          <w:sz w:val="32"/>
          <w:szCs w:val="32"/>
          <w:lang w:val="en-US" w:eastAsia="zh-CN"/>
        </w:rPr>
        <w:t>对标对准</w:t>
      </w:r>
      <w:r>
        <w:rPr>
          <w:rFonts w:hint="eastAsia" w:ascii="仿宋_GB2312" w:hAnsi="仿宋_GB2312" w:eastAsia="仿宋_GB2312" w:cs="仿宋_GB2312"/>
          <w:sz w:val="32"/>
          <w:szCs w:val="32"/>
        </w:rPr>
        <w:t>要求，除了国家秘密、商业秘密和个人隐私以及法律、法规规定不得公开发布的其他政府信息外，</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加大政府信息公开力度，有效扩大信息公开的覆盖面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影响面</w:t>
      </w:r>
      <w:r>
        <w:rPr>
          <w:rFonts w:hint="eastAsia" w:ascii="仿宋_GB2312" w:hAnsi="仿宋_GB2312" w:eastAsia="仿宋_GB2312" w:cs="仿宋_GB2312"/>
          <w:sz w:val="32"/>
          <w:szCs w:val="32"/>
        </w:rPr>
        <w:t>。三是定期参加培训，</w:t>
      </w:r>
      <w:r>
        <w:rPr>
          <w:rFonts w:hint="eastAsia" w:ascii="仿宋_GB2312" w:hAnsi="仿宋_GB2312" w:eastAsia="仿宋_GB2312" w:cs="仿宋_GB2312"/>
          <w:sz w:val="32"/>
          <w:szCs w:val="32"/>
          <w:lang w:val="en-US" w:eastAsia="zh-CN"/>
        </w:rPr>
        <w:t>持续保持学习</w:t>
      </w:r>
      <w:r>
        <w:rPr>
          <w:rFonts w:hint="eastAsia" w:ascii="仿宋_GB2312" w:hAnsi="仿宋_GB2312" w:eastAsia="仿宋_GB2312" w:cs="仿宋_GB2312"/>
          <w:sz w:val="32"/>
          <w:szCs w:val="32"/>
        </w:rPr>
        <w:t>。积极进行信息公开、信息报送业务培训，加强工作人员对信息公开相关政策文件的学习，加深对信息公开要求、内容等的把握，</w:t>
      </w:r>
      <w:r>
        <w:rPr>
          <w:rFonts w:hint="eastAsia" w:ascii="仿宋_GB2312" w:hAnsi="仿宋_GB2312" w:eastAsia="仿宋_GB2312" w:cs="仿宋_GB2312"/>
          <w:sz w:val="32"/>
          <w:szCs w:val="32"/>
          <w:lang w:val="en-US" w:eastAsia="zh-CN"/>
        </w:rPr>
        <w:t>注重</w:t>
      </w:r>
      <w:r>
        <w:rPr>
          <w:rFonts w:hint="eastAsia" w:ascii="仿宋_GB2312" w:hAnsi="仿宋_GB2312" w:eastAsia="仿宋_GB2312" w:cs="仿宋_GB2312"/>
          <w:sz w:val="32"/>
          <w:szCs w:val="32"/>
        </w:rPr>
        <w:t>提高工作人员专业知识和业务能力，</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公开信息的质量。</w:t>
      </w:r>
    </w:p>
    <w:p>
      <w:pPr>
        <w:pStyle w:val="2"/>
        <w:keepNext w:val="0"/>
        <w:keepLines w:val="0"/>
        <w:widowControl/>
        <w:suppressLineNumbers w:val="0"/>
        <w:spacing w:before="0" w:beforeAutospacing="0" w:after="0" w:afterAutospacing="0" w:line="600" w:lineRule="atLeast"/>
        <w:ind w:left="0" w:right="0" w:firstLine="645"/>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六、其他需要报告的事项</w:t>
      </w:r>
    </w:p>
    <w:p>
      <w:pPr>
        <w:pStyle w:val="2"/>
        <w:keepNext w:val="0"/>
        <w:keepLines w:val="0"/>
        <w:widowControl/>
        <w:suppressLineNumbers w:val="0"/>
        <w:spacing w:before="0" w:beforeAutospacing="0" w:after="0" w:afterAutospacing="0" w:line="54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本部分主要报告本行政机关认为需要报告的其他事项，以及其他有关文件专门要求通过政府信息公开工作年度报告予以报告的事项，包括但不限于：</w:t>
      </w:r>
    </w:p>
    <w:p>
      <w:pPr>
        <w:pStyle w:val="2"/>
        <w:keepNext w:val="0"/>
        <w:keepLines w:val="0"/>
        <w:widowControl/>
        <w:numPr>
          <w:numId w:val="0"/>
        </w:numPr>
        <w:suppressLineNumbers w:val="0"/>
        <w:spacing w:before="0" w:beforeAutospacing="0" w:after="0" w:afterAutospacing="0" w:line="540" w:lineRule="atLeast"/>
        <w:ind w:right="0" w:rightChars="0" w:firstLine="640" w:firstLineChars="200"/>
        <w:rPr>
          <w:rFonts w:hint="eastAsia"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rPr>
        <w:t>依据《政府信息公开处理费管理办法》收取信息处理费的情况需在此专门报告；无</w:t>
      </w:r>
      <w:r>
        <w:rPr>
          <w:rFonts w:hint="eastAsia" w:ascii="仿宋_GB2312" w:hAnsi="仿宋_GB2312" w:eastAsia="仿宋_GB2312" w:cs="仿宋_GB2312"/>
          <w:sz w:val="32"/>
          <w:szCs w:val="32"/>
          <w:lang w:eastAsia="zh-CN"/>
        </w:rPr>
        <w:t>。</w:t>
      </w:r>
    </w:p>
    <w:p>
      <w:pPr>
        <w:pStyle w:val="2"/>
        <w:keepNext w:val="0"/>
        <w:keepLines w:val="0"/>
        <w:widowControl/>
        <w:numPr>
          <w:numId w:val="0"/>
        </w:numPr>
        <w:suppressLineNumbers w:val="0"/>
        <w:spacing w:before="0" w:beforeAutospacing="0" w:after="0" w:afterAutospacing="0" w:line="540" w:lineRule="atLeas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2.本行政机关落实上级年度政务公开工作要点情况；</w:t>
      </w:r>
      <w:r>
        <w:rPr>
          <w:rFonts w:hint="eastAsia" w:ascii="仿宋_GB2312" w:hAnsi="仿宋_GB2312" w:eastAsia="仿宋_GB2312" w:cs="仿宋_GB2312"/>
          <w:sz w:val="32"/>
          <w:szCs w:val="32"/>
          <w:lang w:val="en-US" w:eastAsia="zh-CN"/>
        </w:rPr>
        <w:t>财源街道办事处</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val="en-US" w:eastAsia="zh-CN"/>
        </w:rPr>
        <w:t>安排部署</w:t>
      </w:r>
      <w:r>
        <w:rPr>
          <w:rFonts w:hint="eastAsia" w:ascii="仿宋_GB2312" w:hAnsi="仿宋_GB2312" w:eastAsia="仿宋_GB2312" w:cs="仿宋_GB2312"/>
          <w:sz w:val="32"/>
          <w:szCs w:val="32"/>
        </w:rPr>
        <w:t>区政府办政务公开工作相关要求，安排专人进行信息更新，认真抓好落实。</w:t>
      </w:r>
    </w:p>
    <w:p>
      <w:pPr>
        <w:pStyle w:val="2"/>
        <w:keepNext w:val="0"/>
        <w:keepLines w:val="0"/>
        <w:widowControl/>
        <w:suppressLineNumbers w:val="0"/>
        <w:spacing w:before="0" w:beforeAutospacing="0" w:after="0" w:afterAutospacing="0" w:line="540" w:lineRule="atLeast"/>
        <w:ind w:righ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3.本行政机关人大代表建议和政协提案办理结果公开情况；</w:t>
      </w:r>
      <w:r>
        <w:rPr>
          <w:rFonts w:hint="eastAsia" w:ascii="仿宋_GB2312" w:hAnsi="仿宋_GB2312" w:eastAsia="仿宋_GB2312" w:cs="仿宋_GB2312"/>
          <w:sz w:val="32"/>
          <w:szCs w:val="32"/>
          <w:lang w:val="en-US" w:eastAsia="zh-CN"/>
        </w:rPr>
        <w:t>本单位未承办人大建议、政协提案。</w:t>
      </w:r>
    </w:p>
    <w:p>
      <w:pPr>
        <w:pStyle w:val="2"/>
        <w:keepNext w:val="0"/>
        <w:keepLines w:val="0"/>
        <w:widowControl/>
        <w:suppressLineNumbers w:val="0"/>
        <w:spacing w:before="0" w:beforeAutospacing="0" w:after="0" w:afterAutospacing="0" w:line="54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行政机关年度政务公开工作创新情况；本单位根据实际情况，加大领导力度，优化组织机构，确定主要领导亲自抓、相关负责人组织实施，层层落实的工作格局，制定专项工作方案，明确政务公开工作的目标、方案、要求，全力保障政务公开工作的有效落实和高效运转。</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 w:name="CESI仿宋-GB2312">
    <w:panose1 w:val="02000500000000000000"/>
    <w:charset w:val="86"/>
    <w:family w:val="auto"/>
    <w:pitch w:val="default"/>
    <w:sig w:usb0="800002AF" w:usb1="084F6CF8" w:usb2="00000010" w:usb3="00000000" w:csb0="0004000F" w:csb1="00000000"/>
  </w:font>
  <w:font w:name="华文楷体">
    <w:panose1 w:val="02010600040101010101"/>
    <w:charset w:val="86"/>
    <w:family w:val="auto"/>
    <w:pitch w:val="default"/>
    <w:sig w:usb0="00000287" w:usb1="080F0000" w:usb2="00000000" w:usb3="00000000" w:csb0="0004009F" w:csb1="DFD70000"/>
  </w:font>
  <w:font w:name="方正姚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中等线简">
    <w:panose1 w:val="02010600000101010101"/>
    <w:charset w:val="86"/>
    <w:family w:val="auto"/>
    <w:pitch w:val="default"/>
    <w:sig w:usb0="00000001" w:usb1="080E0800" w:usb2="00000002" w:usb3="00000000" w:csb0="00040000" w:csb1="00000000"/>
  </w:font>
  <w:font w:name="CESI仿宋-GB13000">
    <w:panose1 w:val="02000500000000000000"/>
    <w:charset w:val="86"/>
    <w:family w:val="auto"/>
    <w:pitch w:val="default"/>
    <w:sig w:usb0="800002BF" w:usb1="18CF7CF8" w:usb2="00000016" w:usb3="00000000" w:csb0="0004000F" w:csb1="00000000"/>
  </w:font>
  <w:font w:name="CESI黑体-GB18030">
    <w:panose1 w:val="02000500000000000000"/>
    <w:charset w:val="86"/>
    <w:family w:val="auto"/>
    <w:pitch w:val="default"/>
    <w:sig w:usb0="A00002BF" w:usb1="38C77CFA" w:usb2="00000016" w:usb3="00000000" w:csb0="0004000F" w:csb1="00000000"/>
  </w:font>
  <w:font w:name="FreeSans">
    <w:panose1 w:val="020B0504020202020204"/>
    <w:charset w:val="00"/>
    <w:family w:val="auto"/>
    <w:pitch w:val="default"/>
    <w:sig w:usb0="E4839EFF" w:usb1="4600FDFF" w:usb2="000030A0" w:usb3="00000584" w:csb0="600001BF" w:csb1="DFF70000"/>
  </w:font>
  <w:font w:name="Noto Sans CJK HK Light">
    <w:panose1 w:val="020B0300000000000000"/>
    <w:charset w:val="88"/>
    <w:family w:val="auto"/>
    <w:pitch w:val="default"/>
    <w:sig w:usb0="30000083" w:usb1="2BDF3C10" w:usb2="00000016" w:usb3="00000000" w:csb0="603A0107" w:csb1="00000000"/>
  </w:font>
  <w:font w:name="Noto Sans CJK KR Light">
    <w:panose1 w:val="020B0300000000000000"/>
    <w:charset w:val="86"/>
    <w:family w:val="auto"/>
    <w:pitch w:val="default"/>
    <w:sig w:usb0="30000083" w:usb1="2BDF3C10" w:usb2="00000016" w:usb3="00000000" w:csb0="602E0107" w:csb1="00000000"/>
  </w:font>
  <w:font w:name="Noto Sans CJK KR DemiLight">
    <w:panose1 w:val="020B0400000000000000"/>
    <w:charset w:val="86"/>
    <w:family w:val="auto"/>
    <w:pitch w:val="default"/>
    <w:sig w:usb0="30000083" w:usb1="2BDF3C10" w:usb2="00000016" w:usb3="00000000" w:csb0="602E0107" w:csb1="00000000"/>
  </w:font>
  <w:font w:name="Noto Sans CJK KR Thin">
    <w:panose1 w:val="020B0200000000000000"/>
    <w:charset w:val="86"/>
    <w:family w:val="auto"/>
    <w:pitch w:val="default"/>
    <w:sig w:usb0="30000083" w:usb1="2BDF3C10" w:usb2="00000016" w:usb3="00000000" w:csb0="602E0107" w:csb1="00000000"/>
  </w:font>
  <w:font w:name="Calibri Light">
    <w:altName w:val="DejaVu Sans"/>
    <w:panose1 w:val="00000000000000000000"/>
    <w:charset w:val="00"/>
    <w:family w:val="auto"/>
    <w:pitch w:val="default"/>
    <w:sig w:usb0="00000000" w:usb1="00000000" w:usb2="00000000" w:usb3="00000000" w:csb0="00000000" w:csb1="00000000"/>
  </w:font>
  <w:font w:name="CESI楷体-GB2312">
    <w:panose1 w:val="02000500000000000000"/>
    <w:charset w:val="86"/>
    <w:family w:val="auto"/>
    <w:pitch w:val="default"/>
    <w:sig w:usb0="800002BF" w:usb1="184F6CF8" w:usb2="00000012" w:usb3="00000000" w:csb0="0004000F" w:csb1="00000000"/>
  </w:font>
  <w:font w:name="Noto Sans CJK SC Black">
    <w:panose1 w:val="020B0A00000000000000"/>
    <w:charset w:val="86"/>
    <w:family w:val="auto"/>
    <w:pitch w:val="default"/>
    <w:sig w:usb0="30000083" w:usb1="2BDF3C10" w:usb2="00000016" w:usb3="00000000" w:csb0="602E0107" w:csb1="00000000"/>
  </w:font>
  <w:font w:name="Noto Sans CJK SC">
    <w:panose1 w:val="020B0600000000000000"/>
    <w:charset w:val="86"/>
    <w:family w:val="auto"/>
    <w:pitch w:val="default"/>
    <w:sig w:usb0="30000083" w:usb1="2BDF3C10" w:usb2="00000016" w:usb3="00000000" w:csb0="602E0107"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简体">
    <w:panose1 w:val="02000000000000000000"/>
    <w:charset w:val="86"/>
    <w:family w:val="auto"/>
    <w:pitch w:val="default"/>
    <w:sig w:usb0="A00002BF" w:usb1="184F6CFA" w:usb2="00000012" w:usb3="00000000" w:csb0="00040001" w:csb1="00000000"/>
  </w:font>
  <w:font w:name="方正兰亭大黑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细黑一_GBK">
    <w:panose1 w:val="03000509000000000000"/>
    <w:charset w:val="86"/>
    <w:family w:val="auto"/>
    <w:pitch w:val="default"/>
    <w:sig w:usb0="00000001" w:usb1="080E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A00002BF" w:usb1="38CF7CFA" w:usb2="00082016" w:usb3="00000000" w:csb0="00040001" w:csb1="00000000"/>
  </w:font>
  <w:font w:name="方正魏碑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ZWFjMGFmMjY1ZDFkMDY4MzcyZmExZTQ1MDQyZmMifQ=="/>
  </w:docVars>
  <w:rsids>
    <w:rsidRoot w:val="1F3B7BA1"/>
    <w:rsid w:val="1F3B7BA1"/>
    <w:rsid w:val="6D654033"/>
    <w:rsid w:val="FFBA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2492</Words>
  <Characters>2544</Characters>
  <Lines>0</Lines>
  <Paragraphs>0</Paragraphs>
  <TotalTime>6</TotalTime>
  <ScaleCrop>false</ScaleCrop>
  <LinksUpToDate>false</LinksUpToDate>
  <CharactersWithSpaces>2569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2023-02-09T18:08:00Z</dcterms:created>
  <dc:creator>夏婷</dc:creator>
  <cp:lastModifiedBy>kylin</cp:lastModifiedBy>
  <dcterms:modified xsi:type="dcterms:W3CDTF">2023-02-14T09:22:22Z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76EA75C1CE0F4878A3E6E292B5CE24B5</vt:lpwstr>
  </property>
</Properties>
</file>