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10"/>
          <w:sz w:val="44"/>
          <w:szCs w:val="44"/>
          <w:lang w:val="en-US" w:eastAsia="zh-CN"/>
        </w:rPr>
        <w:t>泰安市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lang w:val="en-US" w:eastAsia="zh-CN"/>
        </w:rPr>
        <w:t>泰山区水利局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2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年，区水利局认真贯彻落实《中华人民共和国政府信息公开条例》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文件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规定和有关要求，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在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202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年度政府信息公开工作的基础上，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聚焦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重点领域工作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完善相关内容板块，积极推进政府信息公开工作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现将有关情况报告如下：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1.主动公开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结合我局职能职责、重点任务和群众关注焦点，切实抓好河湖长制、水资源管理、水旱灾害防御、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人事财务、政府采购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等方面的政府信息公开工作。通过政府网站集约化平台公开信息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47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条，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涵盖部门财政预算、政府采购、政府工作报告落实情况、行政执法公开、部门职责任务清单、行政执法主体资格清单、执法事项清单和其他法定信息等。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2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2.依申请公开。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2024年我局未收到政府信息公开申请。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3.政府信息管理。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严格落实信息公开发布管理制度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信息管理制度以及网络信息安全保密事故应急预案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按照分管领导审核、主要领导审批的原则，层层把关，确保信息公开规范运行。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4.政府信息公开平台建设。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充分发挥网站信息平台和宣传阵地作用，优化规范栏目设置，根据工作需要完善“河长制工作”专栏，定期发布工作落实情况和河湖生态建设成效，有效提升网站信息发布整体水平，增强公众获取信息的便捷性、针对性。同时，拓宽公开渠道，广泛利用上级微信公众号以及媒体平台等发布工作信息，及时了解和回应公众诉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监督保障。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把政府信息公开工作纳入重要议事日程，主要领导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听取政府信息公开工作情况，研究解决突出问题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分工领导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具体负责业务科室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政务公开工作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明确各自职责，把信息公开各项任务层层分解，形成上下联动、整体推进的工作体系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主动公开政府信息情况</w:t>
      </w:r>
    </w:p>
    <w:tbl>
      <w:tblPr>
        <w:tblStyle w:val="6"/>
        <w:tblpPr w:leftFromText="180" w:rightFromText="180" w:vertAnchor="text" w:horzAnchor="page" w:tblpX="1437" w:tblpY="238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35"/>
        <w:gridCol w:w="2237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收到和处理政府信息公开申请情况</w:t>
      </w:r>
    </w:p>
    <w:tbl>
      <w:tblPr>
        <w:tblStyle w:val="6"/>
        <w:tblpPr w:leftFromText="180" w:rightFromText="180" w:vertAnchor="text" w:horzAnchor="page" w:tblpX="1107" w:tblpY="291"/>
        <w:tblOverlap w:val="never"/>
        <w:tblW w:w="99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63" w:leftChars="-30" w:right="-13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512" w:tblpY="382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43" w:leftChars="-21" w:right="-132" w:rightChars="-63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82" w:leftChars="-39" w:right="-97" w:rightChars="-4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26" w:rightChars="-6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86" w:leftChars="-41" w:right="-88" w:rightChars="-42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99" w:leftChars="-47" w:right="-78" w:rightChars="-37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年，政府信息公开工作取得了一定进步，但仍存差距和不足：一是部分干部职工对政府信息公开工作的重要性、时效性认识不足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政务信息人员业务能力有待加强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公开形式需进一步优化，信息公开的有效性、便民性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有待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进一步提高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三是政策解读方式和质量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需提高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政策解读力度还需进一步加大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下一步，重点做好以下工作：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一是加强组织领导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明确责任主体，细化责任分工，进一步深化干部职工对政府信息公开工作的认识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二是加强业务培训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及时组织干部职工认真学习政府信息公开条例，不断加强和上级业务主管部门的沟通交流，提升政府信息公开工作业务水平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丰富公开形式，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加强政策解读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立足水利行业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特点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针对重点政策，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加强对政策制定背景、出台目的、重要举措等重点内容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的针对性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解读，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进一步创新音频、视频、动画等解读形式，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切实提升群众对政策的知晓度和满意度。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1.依据《政府信息公开信息处理费管理办法》，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本年度未收取信息处理费。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ascii="仿宋_GB2312" w:eastAsia="仿宋_GB2312"/>
          <w:color w:val="auto"/>
          <w:sz w:val="32"/>
          <w:szCs w:val="32"/>
        </w:rPr>
        <w:t>本行政机关人大代表建议和政协提案办理结果公开情况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2024年度泰山区水利局没有承担人大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代表建议和政协提案的办理事项。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color w:val="auto"/>
          <w:sz w:val="32"/>
          <w:szCs w:val="32"/>
        </w:rPr>
        <w:t>本行政机关落实上级年度政务公开工作要点情况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认真贯彻落实政务公开工作要求，立足行业实际，加大主动公开力度，推进重大项目建设、重点领域、行政权力运行、管理公开、结果公开等方面信息公开。夯实政务公开工作基础，严格政府信息管理。强化政务公开工作监督和保障机制，开展政务公开学习培训，增强各科室单位政务公开意识，切实提升政务公开整体工作水平。</w:t>
      </w:r>
      <w:bookmarkStart w:id="10" w:name="_GoBack"/>
      <w:bookmarkEnd w:id="1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本行政机关年度政务公开工作创新情况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增加了宣传渠道，拓宽了政策宣传的范围。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积极利用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“世界水日”“中国水周”等水利宣传重大节点，开展全方位多角度政策宣传，除在线下在社区、广场等人流量大的公共场所开展宣传活动外，还在闪电新闻、大众网等公众号和媒体平台发布节水信息，扎实做好水利政策法规宣讲、节水政策解读，让水利政策紧贴企业需求，融入群众生活，提升社会节水意识。</w:t>
      </w:r>
    </w:p>
    <w:sectPr>
      <w:footerReference r:id="rId3" w:type="default"/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9CA53"/>
    <w:multiLevelType w:val="singleLevel"/>
    <w:tmpl w:val="DF19CA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zBhNjUwNjdhOTAwNzI0ZmFjYTg0ZDZhZWFlN2EifQ=="/>
  </w:docVars>
  <w:rsids>
    <w:rsidRoot w:val="009036FB"/>
    <w:rsid w:val="003F5380"/>
    <w:rsid w:val="005F04B3"/>
    <w:rsid w:val="00654182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0BE2BB9"/>
    <w:rsid w:val="01C0753F"/>
    <w:rsid w:val="01F46152"/>
    <w:rsid w:val="02750329"/>
    <w:rsid w:val="029D33DC"/>
    <w:rsid w:val="02A46519"/>
    <w:rsid w:val="02CF7A3A"/>
    <w:rsid w:val="03D33559"/>
    <w:rsid w:val="04624A99"/>
    <w:rsid w:val="04661011"/>
    <w:rsid w:val="04877EA0"/>
    <w:rsid w:val="04BD1BA7"/>
    <w:rsid w:val="04C161D3"/>
    <w:rsid w:val="050E411D"/>
    <w:rsid w:val="05BC1DCB"/>
    <w:rsid w:val="06862B05"/>
    <w:rsid w:val="070D0B30"/>
    <w:rsid w:val="08A90D2D"/>
    <w:rsid w:val="08CE42EF"/>
    <w:rsid w:val="0A4B7434"/>
    <w:rsid w:val="0A6F38B0"/>
    <w:rsid w:val="0B865355"/>
    <w:rsid w:val="0BAD28E2"/>
    <w:rsid w:val="0BE44893"/>
    <w:rsid w:val="0C0544CC"/>
    <w:rsid w:val="0C197EFD"/>
    <w:rsid w:val="0C3C3C66"/>
    <w:rsid w:val="0C874EE1"/>
    <w:rsid w:val="0C886EAB"/>
    <w:rsid w:val="0C9870EE"/>
    <w:rsid w:val="0DC7755F"/>
    <w:rsid w:val="0E5E4367"/>
    <w:rsid w:val="0E8A515C"/>
    <w:rsid w:val="0EDB59B8"/>
    <w:rsid w:val="1045758D"/>
    <w:rsid w:val="10E30B54"/>
    <w:rsid w:val="112453F4"/>
    <w:rsid w:val="118E0AC0"/>
    <w:rsid w:val="118F7958"/>
    <w:rsid w:val="12374CB3"/>
    <w:rsid w:val="128B3251"/>
    <w:rsid w:val="129640D0"/>
    <w:rsid w:val="137F7BEF"/>
    <w:rsid w:val="140F32ED"/>
    <w:rsid w:val="147D6BCA"/>
    <w:rsid w:val="14EE4F52"/>
    <w:rsid w:val="15396F94"/>
    <w:rsid w:val="153C0E2B"/>
    <w:rsid w:val="15F01D49"/>
    <w:rsid w:val="15F31839"/>
    <w:rsid w:val="16685D83"/>
    <w:rsid w:val="17600C4E"/>
    <w:rsid w:val="17D2722C"/>
    <w:rsid w:val="17E7717C"/>
    <w:rsid w:val="185002F3"/>
    <w:rsid w:val="18626802"/>
    <w:rsid w:val="18BE612E"/>
    <w:rsid w:val="19006747"/>
    <w:rsid w:val="19832ED4"/>
    <w:rsid w:val="1A043D56"/>
    <w:rsid w:val="1AB772D9"/>
    <w:rsid w:val="1B356450"/>
    <w:rsid w:val="1BC872C4"/>
    <w:rsid w:val="1C200EAE"/>
    <w:rsid w:val="1C4C1CA3"/>
    <w:rsid w:val="1D76522A"/>
    <w:rsid w:val="1D9D423B"/>
    <w:rsid w:val="1FA51ED8"/>
    <w:rsid w:val="20270A5D"/>
    <w:rsid w:val="20315E0F"/>
    <w:rsid w:val="20792A83"/>
    <w:rsid w:val="213C22E6"/>
    <w:rsid w:val="21537630"/>
    <w:rsid w:val="22350AE4"/>
    <w:rsid w:val="22A243CB"/>
    <w:rsid w:val="233C2A38"/>
    <w:rsid w:val="235C0A1E"/>
    <w:rsid w:val="23863CED"/>
    <w:rsid w:val="24C148B0"/>
    <w:rsid w:val="24E46F1D"/>
    <w:rsid w:val="265005E2"/>
    <w:rsid w:val="265A4FBD"/>
    <w:rsid w:val="26BD5C77"/>
    <w:rsid w:val="27075144"/>
    <w:rsid w:val="283D0195"/>
    <w:rsid w:val="28757E8C"/>
    <w:rsid w:val="295959FF"/>
    <w:rsid w:val="2A781D8B"/>
    <w:rsid w:val="2B05199B"/>
    <w:rsid w:val="2B795EE5"/>
    <w:rsid w:val="2CB2345D"/>
    <w:rsid w:val="2D126E0D"/>
    <w:rsid w:val="2D1C15E3"/>
    <w:rsid w:val="2D7921CC"/>
    <w:rsid w:val="2DCC054E"/>
    <w:rsid w:val="2EC41B6D"/>
    <w:rsid w:val="2ED9699B"/>
    <w:rsid w:val="2F61560E"/>
    <w:rsid w:val="30A734F4"/>
    <w:rsid w:val="31473E7A"/>
    <w:rsid w:val="318E1295"/>
    <w:rsid w:val="32EE5A70"/>
    <w:rsid w:val="32FB3683"/>
    <w:rsid w:val="330469DC"/>
    <w:rsid w:val="333A6BDB"/>
    <w:rsid w:val="33F82481"/>
    <w:rsid w:val="35325A82"/>
    <w:rsid w:val="35335914"/>
    <w:rsid w:val="353E341E"/>
    <w:rsid w:val="355C6F55"/>
    <w:rsid w:val="36062A6B"/>
    <w:rsid w:val="3643781B"/>
    <w:rsid w:val="364F21ED"/>
    <w:rsid w:val="36B83D65"/>
    <w:rsid w:val="372142C2"/>
    <w:rsid w:val="379522F8"/>
    <w:rsid w:val="38482EC7"/>
    <w:rsid w:val="388A4CBC"/>
    <w:rsid w:val="38FB43DD"/>
    <w:rsid w:val="3A502507"/>
    <w:rsid w:val="3B034953"/>
    <w:rsid w:val="3B3F4A55"/>
    <w:rsid w:val="3BF55114"/>
    <w:rsid w:val="3BF75330"/>
    <w:rsid w:val="3BFA4E20"/>
    <w:rsid w:val="3C485B8B"/>
    <w:rsid w:val="3D1D2B74"/>
    <w:rsid w:val="3D211F38"/>
    <w:rsid w:val="3F5C54AA"/>
    <w:rsid w:val="3FB456CB"/>
    <w:rsid w:val="3FF605CD"/>
    <w:rsid w:val="41C932CA"/>
    <w:rsid w:val="426C3C56"/>
    <w:rsid w:val="432F1853"/>
    <w:rsid w:val="43562841"/>
    <w:rsid w:val="468B3F91"/>
    <w:rsid w:val="471A6376"/>
    <w:rsid w:val="474B6530"/>
    <w:rsid w:val="47863A0C"/>
    <w:rsid w:val="47AA14A8"/>
    <w:rsid w:val="48030BB8"/>
    <w:rsid w:val="48B44D68"/>
    <w:rsid w:val="48FD385A"/>
    <w:rsid w:val="49B93C25"/>
    <w:rsid w:val="4AC22FAD"/>
    <w:rsid w:val="4AE50A49"/>
    <w:rsid w:val="4B0D06CC"/>
    <w:rsid w:val="4B870D16"/>
    <w:rsid w:val="4C51283A"/>
    <w:rsid w:val="4D3161C8"/>
    <w:rsid w:val="4DD728CB"/>
    <w:rsid w:val="4E1B3100"/>
    <w:rsid w:val="4E2F67D9"/>
    <w:rsid w:val="4E6B6EA1"/>
    <w:rsid w:val="4E725CD8"/>
    <w:rsid w:val="4ECC264C"/>
    <w:rsid w:val="4FA15887"/>
    <w:rsid w:val="50B45146"/>
    <w:rsid w:val="50CD4459"/>
    <w:rsid w:val="50E33C7D"/>
    <w:rsid w:val="510936E3"/>
    <w:rsid w:val="511300BE"/>
    <w:rsid w:val="516A3A56"/>
    <w:rsid w:val="517F7502"/>
    <w:rsid w:val="519A0650"/>
    <w:rsid w:val="5246001F"/>
    <w:rsid w:val="534C3D5B"/>
    <w:rsid w:val="5399450C"/>
    <w:rsid w:val="540366B0"/>
    <w:rsid w:val="54703A7A"/>
    <w:rsid w:val="550D3076"/>
    <w:rsid w:val="576D3501"/>
    <w:rsid w:val="58EF7663"/>
    <w:rsid w:val="59186333"/>
    <w:rsid w:val="591C41D0"/>
    <w:rsid w:val="596D4A2C"/>
    <w:rsid w:val="5BC546AB"/>
    <w:rsid w:val="5C34538D"/>
    <w:rsid w:val="5CAB1AF3"/>
    <w:rsid w:val="5D1A6C78"/>
    <w:rsid w:val="5D720862"/>
    <w:rsid w:val="5EEDC3F8"/>
    <w:rsid w:val="5F2913F5"/>
    <w:rsid w:val="5F7A755A"/>
    <w:rsid w:val="5FAA42E4"/>
    <w:rsid w:val="5FBE7D8F"/>
    <w:rsid w:val="5FEC48FC"/>
    <w:rsid w:val="60960A73"/>
    <w:rsid w:val="60DA1397"/>
    <w:rsid w:val="61EF2482"/>
    <w:rsid w:val="63185A08"/>
    <w:rsid w:val="635D0996"/>
    <w:rsid w:val="64B13D6E"/>
    <w:rsid w:val="64C319A4"/>
    <w:rsid w:val="652B723C"/>
    <w:rsid w:val="65FF0DA3"/>
    <w:rsid w:val="66377F53"/>
    <w:rsid w:val="66F95B50"/>
    <w:rsid w:val="671F2A18"/>
    <w:rsid w:val="68012F0F"/>
    <w:rsid w:val="68DC4DE2"/>
    <w:rsid w:val="69205616"/>
    <w:rsid w:val="695232F6"/>
    <w:rsid w:val="6A3D5D54"/>
    <w:rsid w:val="6AA87672"/>
    <w:rsid w:val="6B637A3C"/>
    <w:rsid w:val="6B8F0831"/>
    <w:rsid w:val="6BE741CA"/>
    <w:rsid w:val="6BFA3EFD"/>
    <w:rsid w:val="6C2063E9"/>
    <w:rsid w:val="6C69261A"/>
    <w:rsid w:val="6C97799E"/>
    <w:rsid w:val="6D4E028B"/>
    <w:rsid w:val="6D876F5F"/>
    <w:rsid w:val="6E661D1D"/>
    <w:rsid w:val="6F712728"/>
    <w:rsid w:val="70862203"/>
    <w:rsid w:val="713779A1"/>
    <w:rsid w:val="723F4D5F"/>
    <w:rsid w:val="729055BB"/>
    <w:rsid w:val="72FC67AC"/>
    <w:rsid w:val="735D25F1"/>
    <w:rsid w:val="73C3376E"/>
    <w:rsid w:val="73D03795"/>
    <w:rsid w:val="748527D2"/>
    <w:rsid w:val="75403C71"/>
    <w:rsid w:val="759F5B15"/>
    <w:rsid w:val="75BA4488"/>
    <w:rsid w:val="75E43528"/>
    <w:rsid w:val="761C0F14"/>
    <w:rsid w:val="76AF1D88"/>
    <w:rsid w:val="76DDF9C0"/>
    <w:rsid w:val="777F5BFE"/>
    <w:rsid w:val="77B81EDB"/>
    <w:rsid w:val="79DA6481"/>
    <w:rsid w:val="79E461EC"/>
    <w:rsid w:val="79EA1A55"/>
    <w:rsid w:val="7A387F61"/>
    <w:rsid w:val="7A777060"/>
    <w:rsid w:val="7AF79EE2"/>
    <w:rsid w:val="7B42766E"/>
    <w:rsid w:val="7B5B0730"/>
    <w:rsid w:val="7B6E5D6D"/>
    <w:rsid w:val="7BC57958"/>
    <w:rsid w:val="7C176405"/>
    <w:rsid w:val="7D621902"/>
    <w:rsid w:val="7D7A3B89"/>
    <w:rsid w:val="7E5C8C4E"/>
    <w:rsid w:val="7F363046"/>
    <w:rsid w:val="7F3F70A9"/>
    <w:rsid w:val="7F7F0ED8"/>
    <w:rsid w:val="7FDB599C"/>
    <w:rsid w:val="7FFEDE2F"/>
    <w:rsid w:val="8FBBAD1D"/>
    <w:rsid w:val="BC375350"/>
    <w:rsid w:val="BFBF05A8"/>
    <w:rsid w:val="D2B21BC9"/>
    <w:rsid w:val="DBDF5172"/>
    <w:rsid w:val="ED6D9FB0"/>
    <w:rsid w:val="EE3E9585"/>
    <w:rsid w:val="F77C5607"/>
    <w:rsid w:val="FDB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2102</Words>
  <Characters>2162</Characters>
  <Lines>30</Lines>
  <Paragraphs>8</Paragraphs>
  <TotalTime>4</TotalTime>
  <ScaleCrop>false</ScaleCrop>
  <LinksUpToDate>false</LinksUpToDate>
  <CharactersWithSpaces>2162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2020-01-08T18:42:00Z</dcterms:created>
  <dc:creator>Administrator</dc:creator>
  <cp:lastModifiedBy>kylin</cp:lastModifiedBy>
  <dcterms:modified xsi:type="dcterms:W3CDTF">2025-01-15T16:54:44Z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1D1E8DA3348B4EBBA6DA154741E832AD_13</vt:lpwstr>
  </property>
  <property fmtid="{D5CDD505-2E9C-101B-9397-08002B2CF9AE}" pid="4" name="KSOTemplateDocerSaveRecord">
    <vt:lpwstr>eyJoZGlkIjoiNmZmYzY1MDcxYjNlMzFhZjQ2ZDc1ZDYyNzUwOGFhZjQifQ==</vt:lpwstr>
  </property>
</Properties>
</file>