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jc w:val="center"/>
        <w:rPr>
          <w:rFonts w:hint="eastAsia" w:ascii="方正小标宋简体" w:hAnsi="方正小标宋简体" w:eastAsia="方正小标宋简体" w:cs="方正小标宋简体"/>
          <w:i w:val="0"/>
          <w:iCs w:val="0"/>
          <w:caps w:val="0"/>
          <w:color w:val="000000"/>
          <w:spacing w:val="0"/>
          <w:sz w:val="44"/>
          <w:szCs w:val="44"/>
        </w:rPr>
      </w:pPr>
      <w:r>
        <w:rPr>
          <w:rFonts w:hint="eastAsia" w:ascii="方正小标宋简体" w:hAnsi="方正小标宋简体" w:eastAsia="方正小标宋简体" w:cs="方正小标宋简体"/>
          <w:i w:val="0"/>
          <w:iCs w:val="0"/>
          <w:caps w:val="0"/>
          <w:color w:val="000000"/>
          <w:spacing w:val="0"/>
          <w:sz w:val="44"/>
          <w:szCs w:val="44"/>
        </w:rPr>
        <w:t>泰安市泰山区住房和城乡建设局</w:t>
      </w:r>
    </w:p>
    <w:p>
      <w:pPr>
        <w:pStyle w:val="5"/>
        <w:spacing w:before="0" w:beforeAutospacing="0" w:after="0" w:afterAutospacing="0" w:line="600" w:lineRule="exact"/>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rPr>
        <w:t>202</w:t>
      </w:r>
      <w:r>
        <w:rPr>
          <w:rFonts w:hint="eastAsia" w:ascii="Times New Roman" w:hAnsi="Times New Roman" w:eastAsia="方正小标宋简体"/>
          <w:color w:val="auto"/>
          <w:spacing w:val="10"/>
          <w:sz w:val="44"/>
          <w:szCs w:val="44"/>
          <w:lang w:val="en-US" w:eastAsia="zh-CN"/>
        </w:rPr>
        <w:t>4</w:t>
      </w:r>
      <w:r>
        <w:rPr>
          <w:rFonts w:ascii="Times New Roman" w:hAnsi="Times New Roman" w:eastAsia="方正小标宋简体"/>
          <w:color w:val="auto"/>
          <w:spacing w:val="10"/>
          <w:sz w:val="44"/>
          <w:szCs w:val="44"/>
        </w:rPr>
        <w:t>年政府信息公开工作年度报告</w:t>
      </w:r>
    </w:p>
    <w:p>
      <w:pPr>
        <w:pStyle w:val="5"/>
        <w:spacing w:before="0" w:beforeAutospacing="0" w:after="0" w:afterAutospacing="0" w:line="600" w:lineRule="exact"/>
        <w:jc w:val="left"/>
        <w:rPr>
          <w:rFonts w:ascii="Times New Roman" w:hAnsi="Times New Roman" w:eastAsia="方正小标宋简体"/>
          <w:color w:val="auto"/>
          <w:sz w:val="44"/>
          <w:szCs w:val="44"/>
        </w:rPr>
      </w:pPr>
    </w:p>
    <w:p>
      <w:pPr>
        <w:pStyle w:val="5"/>
        <w:spacing w:before="0" w:beforeAutospacing="0" w:after="0" w:afterAutospacing="0" w:line="60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根据《中华人民共和国政府信息公开条例》，特向社会公布202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本机关政府信息公开工作年度报告。全文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年1月1日起至202</w:t>
      </w:r>
      <w:r>
        <w:rPr>
          <w:rFonts w:hint="eastAsia" w:ascii="仿宋_GB2312" w:eastAsia="仿宋_GB2312"/>
          <w:color w:val="auto"/>
          <w:sz w:val="32"/>
          <w:szCs w:val="32"/>
          <w:lang w:val="en-US" w:eastAsia="zh-CN"/>
        </w:rPr>
        <w:t>4</w:t>
      </w:r>
      <w:r>
        <w:rPr>
          <w:rFonts w:hint="eastAsia" w:ascii="仿宋_GB2312" w:eastAsia="仿宋_GB2312"/>
          <w:color w:val="auto"/>
          <w:sz w:val="32"/>
          <w:szCs w:val="32"/>
        </w:rPr>
        <w:t>年12月31日止。</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一、总体情况</w:t>
      </w:r>
    </w:p>
    <w:p>
      <w:pPr>
        <w:pStyle w:val="5"/>
        <w:spacing w:before="0" w:beforeAutospacing="0" w:after="0" w:afterAutospacing="0" w:line="600" w:lineRule="exact"/>
        <w:ind w:firstLine="640" w:firstLineChars="200"/>
        <w:jc w:val="both"/>
        <w:rPr>
          <w:rFonts w:hint="eastAsia" w:ascii="仿宋_GB2312" w:eastAsia="仿宋_GB2312" w:cs="Times New Roman"/>
          <w:color w:val="auto"/>
          <w:sz w:val="32"/>
          <w:szCs w:val="32"/>
          <w:lang w:val="en-US" w:eastAsia="zh-CN"/>
        </w:rPr>
      </w:pPr>
      <w:r>
        <w:rPr>
          <w:rFonts w:hint="eastAsia" w:ascii="仿宋_GB2312" w:eastAsia="仿宋_GB2312" w:cs="Times New Roman"/>
          <w:color w:val="auto"/>
          <w:sz w:val="32"/>
          <w:szCs w:val="32"/>
        </w:rPr>
        <w:t>202</w:t>
      </w:r>
      <w:r>
        <w:rPr>
          <w:rFonts w:hint="eastAsia" w:ascii="仿宋_GB2312" w:eastAsia="仿宋_GB2312" w:cs="Times New Roman"/>
          <w:color w:val="auto"/>
          <w:sz w:val="32"/>
          <w:szCs w:val="32"/>
          <w:lang w:val="en-US" w:eastAsia="zh-CN"/>
        </w:rPr>
        <w:t>4</w:t>
      </w:r>
      <w:r>
        <w:rPr>
          <w:rFonts w:hint="eastAsia" w:ascii="仿宋_GB2312" w:eastAsia="仿宋_GB2312" w:cs="Times New Roman"/>
          <w:color w:val="auto"/>
          <w:sz w:val="32"/>
          <w:szCs w:val="32"/>
        </w:rPr>
        <w:t>年</w:t>
      </w:r>
      <w:r>
        <w:rPr>
          <w:rFonts w:hint="eastAsia" w:ascii="仿宋_GB2312" w:eastAsia="仿宋_GB2312" w:cs="Times New Roman"/>
          <w:color w:val="auto"/>
          <w:sz w:val="32"/>
          <w:szCs w:val="32"/>
          <w:lang w:val="en-US" w:eastAsia="zh-CN"/>
        </w:rPr>
        <w:t>以来</w:t>
      </w:r>
      <w:r>
        <w:rPr>
          <w:rFonts w:hint="eastAsia" w:ascii="仿宋_GB2312" w:eastAsia="仿宋_GB2312" w:cs="Times New Roman"/>
          <w:color w:val="auto"/>
          <w:sz w:val="32"/>
          <w:szCs w:val="32"/>
          <w:lang w:eastAsia="zh-CN"/>
        </w:rPr>
        <w:t>，</w:t>
      </w:r>
      <w:r>
        <w:rPr>
          <w:rFonts w:hint="eastAsia" w:ascii="仿宋_GB2312" w:eastAsia="仿宋_GB2312" w:cs="Times New Roman"/>
          <w:color w:val="auto"/>
          <w:sz w:val="32"/>
          <w:szCs w:val="32"/>
          <w:lang w:val="en-US" w:eastAsia="zh-CN"/>
        </w:rPr>
        <w:t>泰山</w:t>
      </w:r>
      <w:r>
        <w:rPr>
          <w:rFonts w:hint="eastAsia" w:ascii="仿宋_GB2312" w:eastAsia="仿宋_GB2312" w:cs="Times New Roman"/>
          <w:color w:val="auto"/>
          <w:sz w:val="32"/>
          <w:szCs w:val="32"/>
        </w:rPr>
        <w:t>区</w:t>
      </w:r>
      <w:r>
        <w:rPr>
          <w:rFonts w:hint="eastAsia" w:ascii="仿宋_GB2312" w:eastAsia="仿宋_GB2312" w:cs="Times New Roman"/>
          <w:color w:val="auto"/>
          <w:sz w:val="32"/>
          <w:szCs w:val="32"/>
          <w:lang w:val="en-US" w:eastAsia="zh-CN"/>
        </w:rPr>
        <w:t>住房和城乡建设局按照区委、区政府的要求和统一部署</w:t>
      </w:r>
      <w:r>
        <w:rPr>
          <w:rFonts w:hint="eastAsia" w:ascii="仿宋_GB2312" w:eastAsia="仿宋_GB2312" w:cs="Times New Roman"/>
          <w:color w:val="auto"/>
          <w:sz w:val="32"/>
          <w:szCs w:val="32"/>
        </w:rPr>
        <w:t>，</w:t>
      </w:r>
      <w:r>
        <w:rPr>
          <w:rFonts w:hint="eastAsia" w:ascii="仿宋_GB2312" w:eastAsia="仿宋_GB2312" w:cs="Times New Roman"/>
          <w:color w:val="auto"/>
          <w:sz w:val="32"/>
          <w:szCs w:val="32"/>
          <w:lang w:val="en-US" w:eastAsia="zh-CN"/>
        </w:rPr>
        <w:t>立足工作实际，加强组织领导，积极推动政府信息公开。主要工作情况总结如下：</w:t>
      </w:r>
    </w:p>
    <w:p>
      <w:pPr>
        <w:pStyle w:val="5"/>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2" w:firstLineChars="200"/>
        <w:jc w:val="both"/>
        <w:textAlignment w:val="auto"/>
        <w:rPr>
          <w:rFonts w:hint="eastAsia" w:ascii="仿宋_GB2312" w:eastAsia="仿宋_GB2312" w:cs="Times New Roman"/>
          <w:color w:val="auto"/>
          <w:sz w:val="32"/>
          <w:szCs w:val="32"/>
          <w:lang w:val="en-US" w:eastAsia="zh-CN"/>
        </w:rPr>
      </w:pPr>
      <w:r>
        <w:rPr>
          <w:rFonts w:hint="eastAsia" w:ascii="仿宋_GB2312" w:eastAsia="仿宋_GB2312" w:hAnsiTheme="minorHAnsi" w:cstheme="minorBidi"/>
          <w:b/>
          <w:bCs/>
          <w:color w:val="auto"/>
          <w:kern w:val="2"/>
          <w:sz w:val="32"/>
          <w:szCs w:val="32"/>
          <w:lang w:val="en-US" w:eastAsia="zh-CN" w:bidi="ar-SA"/>
        </w:rPr>
        <w:t>1.</w:t>
      </w:r>
      <w:r>
        <w:rPr>
          <w:rFonts w:ascii="仿宋_GB2312" w:eastAsia="仿宋_GB2312" w:hAnsiTheme="minorHAnsi" w:cstheme="minorBidi"/>
          <w:b/>
          <w:bCs/>
          <w:color w:val="auto"/>
          <w:kern w:val="2"/>
          <w:sz w:val="32"/>
          <w:szCs w:val="32"/>
          <w:lang w:val="en-US" w:eastAsia="zh-CN" w:bidi="ar-SA"/>
        </w:rPr>
        <w:t>主动公开</w:t>
      </w:r>
      <w:r>
        <w:rPr>
          <w:rFonts w:hint="eastAsia" w:ascii="仿宋_GB2312" w:eastAsia="仿宋_GB2312" w:hAnsiTheme="minorHAnsi" w:cstheme="minorBidi"/>
          <w:b/>
          <w:bCs/>
          <w:color w:val="auto"/>
          <w:kern w:val="2"/>
          <w:sz w:val="32"/>
          <w:szCs w:val="32"/>
          <w:lang w:val="en-US" w:eastAsia="zh-CN" w:bidi="ar-SA"/>
        </w:rPr>
        <w:t>。</w:t>
      </w:r>
      <w:r>
        <w:rPr>
          <w:rFonts w:hint="eastAsia" w:ascii="仿宋_GB2312" w:eastAsia="仿宋_GB2312" w:cs="Times New Roman"/>
          <w:color w:val="auto"/>
          <w:sz w:val="32"/>
          <w:szCs w:val="32"/>
          <w:lang w:val="en-US" w:eastAsia="zh-CN"/>
        </w:rPr>
        <w:t>我局政府信息公开工作严格按照《</w:t>
      </w:r>
      <w:r>
        <w:rPr>
          <w:rFonts w:hint="eastAsia" w:ascii="仿宋_GB2312" w:eastAsia="仿宋_GB2312"/>
          <w:color w:val="auto"/>
          <w:sz w:val="32"/>
          <w:szCs w:val="32"/>
        </w:rPr>
        <w:t>中华人民共和国政府信息公开条例</w:t>
      </w:r>
      <w:r>
        <w:rPr>
          <w:rFonts w:hint="eastAsia" w:ascii="仿宋_GB2312" w:eastAsia="仿宋_GB2312" w:cs="Times New Roman"/>
          <w:color w:val="auto"/>
          <w:sz w:val="32"/>
          <w:szCs w:val="32"/>
          <w:lang w:val="en-US" w:eastAsia="zh-CN"/>
        </w:rPr>
        <w:t>》和上级部门的总体要求，妥善处理公开与保密的关系，合理界定信息公开范围，做到积极稳妥，及时准确，公开、公正、便民。2024年1-12月份，法定主动公开栏目发布信息30余件，</w:t>
      </w:r>
      <w:r>
        <w:rPr>
          <w:rFonts w:hint="eastAsia" w:ascii="仿宋_GB2312" w:eastAsia="仿宋_GB2312" w:cs="Times New Roman"/>
          <w:b w:val="0"/>
          <w:bCs w:val="0"/>
          <w:color w:val="auto"/>
          <w:sz w:val="32"/>
          <w:szCs w:val="32"/>
          <w:lang w:val="en-US" w:eastAsia="zh-CN"/>
        </w:rPr>
        <w:t>主要涉及行政权力运行公开、财政预决算、政府工作报告、重点领域信息公开栏目。</w:t>
      </w:r>
    </w:p>
    <w:p>
      <w:pPr>
        <w:ind w:firstLine="642" w:firstLineChars="200"/>
        <w:rPr>
          <w:rFonts w:hint="eastAsia" w:ascii="仿宋_GB2312" w:hAnsi="仿宋_GB2312" w:eastAsia="仿宋_GB2312" w:cs="仿宋_GB2312"/>
          <w:b w:val="0"/>
          <w:bCs w:val="0"/>
          <w:sz w:val="32"/>
          <w:szCs w:val="32"/>
          <w:lang w:eastAsia="zh-CN"/>
        </w:rPr>
      </w:pPr>
      <w:r>
        <w:rPr>
          <w:rFonts w:ascii="仿宋_GB2312" w:eastAsia="仿宋_GB2312"/>
          <w:b/>
          <w:bCs/>
          <w:color w:val="auto"/>
          <w:sz w:val="32"/>
          <w:szCs w:val="32"/>
        </w:rPr>
        <w:t>2.依申请公开</w:t>
      </w:r>
      <w:r>
        <w:rPr>
          <w:rFonts w:hint="eastAsia" w:ascii="仿宋_GB2312" w:eastAsia="仿宋_GB2312"/>
          <w:b/>
          <w:bCs/>
          <w:color w:val="auto"/>
          <w:sz w:val="32"/>
          <w:szCs w:val="32"/>
        </w:rPr>
        <w:t>。</w:t>
      </w:r>
      <w:r>
        <w:rPr>
          <w:rFonts w:hint="eastAsia" w:ascii="仿宋_GB2312" w:hAnsi="Calibri" w:eastAsia="仿宋_GB2312" w:cs="Times New Roman"/>
          <w:color w:val="auto"/>
          <w:kern w:val="0"/>
          <w:sz w:val="32"/>
          <w:szCs w:val="32"/>
          <w:lang w:val="en-US" w:eastAsia="zh-CN" w:bidi="ar-SA"/>
        </w:rPr>
        <w:t>2024年泰山区住建局共收到和处理政府信息公开申请27件，均按规定时间办结。</w:t>
      </w:r>
      <w:r>
        <w:rPr>
          <w:rFonts w:hint="eastAsia" w:ascii="仿宋_GB2312" w:hAnsi="仿宋_GB2312" w:eastAsia="仿宋_GB2312" w:cs="仿宋_GB2312"/>
          <w:b w:val="0"/>
          <w:bCs w:val="0"/>
          <w:color w:val="auto"/>
          <w:sz w:val="32"/>
          <w:szCs w:val="32"/>
        </w:rPr>
        <w:t>申请涉及内容主要</w:t>
      </w:r>
      <w:r>
        <w:rPr>
          <w:rFonts w:hint="eastAsia" w:ascii="仿宋_GB2312" w:hAnsi="仿宋_GB2312" w:eastAsia="仿宋_GB2312" w:cs="仿宋_GB2312"/>
          <w:b w:val="0"/>
          <w:bCs w:val="0"/>
          <w:color w:val="auto"/>
          <w:sz w:val="32"/>
          <w:szCs w:val="32"/>
          <w:lang w:val="en-US" w:eastAsia="zh-CN"/>
        </w:rPr>
        <w:t>涉及预售资金专用专户，建设工程消防验收意见书，项目负责人终身承诺书、建设单位营业执照复印件，建设工程质量监督报告，监理单位质量评估报告，设计单位质量检查报告，勘察单位质量检查报告，施工单位工程质量竣工报告，竣工验收备案申请表等资料，均依法在规定时间内进行答复</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sz w:val="32"/>
          <w:szCs w:val="32"/>
          <w:lang w:val="en-US" w:eastAsia="zh-CN"/>
        </w:rPr>
        <w:t>本年度</w:t>
      </w:r>
      <w:r>
        <w:rPr>
          <w:rFonts w:hint="eastAsia" w:ascii="仿宋_GB2312" w:hAnsi="仿宋_GB2312" w:eastAsia="仿宋_GB2312" w:cs="仿宋_GB2312"/>
          <w:b w:val="0"/>
          <w:bCs w:val="0"/>
          <w:color w:val="auto"/>
          <w:sz w:val="32"/>
          <w:szCs w:val="32"/>
        </w:rPr>
        <w:t>在处理政府信息公开申请过程中，严格按照《政府信息公开条例》及相关收费规定执行，未向申请人收取任何费用。</w:t>
      </w:r>
    </w:p>
    <w:p>
      <w:pPr>
        <w:ind w:firstLine="642" w:firstLineChars="200"/>
        <w:rPr>
          <w:rFonts w:hint="default" w:ascii="仿宋_GB2312" w:eastAsia="仿宋_GB2312"/>
          <w:b w:val="0"/>
          <w:bCs w:val="0"/>
          <w:color w:val="auto"/>
          <w:sz w:val="32"/>
          <w:szCs w:val="32"/>
          <w:lang w:val="en"/>
        </w:rPr>
      </w:pPr>
      <w:r>
        <w:rPr>
          <w:rFonts w:ascii="仿宋_GB2312" w:eastAsia="仿宋_GB2312"/>
          <w:b/>
          <w:bCs/>
          <w:color w:val="auto"/>
          <w:sz w:val="32"/>
          <w:szCs w:val="32"/>
          <w:highlight w:val="none"/>
        </w:rPr>
        <w:t>3.政府信息管理</w:t>
      </w:r>
      <w:r>
        <w:rPr>
          <w:rFonts w:hint="eastAsia" w:ascii="仿宋_GB2312" w:eastAsia="仿宋_GB2312"/>
          <w:b/>
          <w:bCs/>
          <w:color w:val="auto"/>
          <w:sz w:val="32"/>
          <w:szCs w:val="32"/>
          <w:highlight w:val="none"/>
        </w:rPr>
        <w:t>。</w:t>
      </w:r>
      <w:r>
        <w:rPr>
          <w:rFonts w:hint="eastAsia" w:ascii="仿宋_GB2312" w:hAnsi="Calibri" w:eastAsia="仿宋_GB2312" w:cs="Times New Roman"/>
          <w:color w:val="auto"/>
          <w:kern w:val="0"/>
          <w:sz w:val="32"/>
          <w:szCs w:val="32"/>
          <w:lang w:val="en-US" w:eastAsia="zh-CN" w:bidi="ar-SA"/>
        </w:rPr>
        <w:t>一是严格落实审核制度。健全我局信息发布、审查、协调和管理动态调整等制度。完善政务公开日常监测机制，加强统计分析，严格把控公开内容质量。二是</w:t>
      </w:r>
      <w:r>
        <w:rPr>
          <w:rFonts w:hint="default" w:ascii="仿宋_GB2312" w:eastAsia="仿宋_GB2312"/>
          <w:b w:val="0"/>
          <w:bCs w:val="0"/>
          <w:color w:val="auto"/>
          <w:sz w:val="32"/>
          <w:szCs w:val="32"/>
          <w:lang w:val="en"/>
        </w:rPr>
        <w:t>做好公开事项和内容的梳理。对照《中华人民共和国政府信息公开条例》要求及相关文件和重点领域，扩大信息收集范围，确保公开信息覆盖全面，回应及时。</w:t>
      </w:r>
      <w:r>
        <w:rPr>
          <w:rFonts w:hint="eastAsia" w:ascii="仿宋_GB2312" w:eastAsia="仿宋_GB2312"/>
          <w:b w:val="0"/>
          <w:bCs w:val="0"/>
          <w:color w:val="auto"/>
          <w:sz w:val="32"/>
          <w:szCs w:val="32"/>
          <w:lang w:val="en-US" w:eastAsia="zh-CN"/>
        </w:rPr>
        <w:t>采取自查和在线集中检查的方式，不定期对政府网站政府信息公开专栏建设和内容保障工作进行抽查核验。</w:t>
      </w:r>
    </w:p>
    <w:p>
      <w:pPr>
        <w:ind w:firstLine="642" w:firstLineChars="200"/>
        <w:rPr>
          <w:rFonts w:hint="eastAsia" w:ascii="仿宋_GB2312" w:eastAsia="仿宋_GB2312"/>
          <w:b w:val="0"/>
          <w:bCs w:val="0"/>
          <w:color w:val="auto"/>
          <w:sz w:val="32"/>
          <w:szCs w:val="32"/>
          <w:lang w:val="en-US" w:eastAsia="zh-CN"/>
        </w:rPr>
      </w:pPr>
      <w:r>
        <w:rPr>
          <w:rFonts w:ascii="仿宋_GB2312" w:eastAsia="仿宋_GB2312"/>
          <w:b/>
          <w:bCs/>
          <w:color w:val="auto"/>
          <w:sz w:val="32"/>
          <w:szCs w:val="32"/>
          <w:highlight w:val="none"/>
        </w:rPr>
        <w:t>4.</w:t>
      </w:r>
      <w:r>
        <w:rPr>
          <w:rFonts w:hint="eastAsia" w:ascii="仿宋_GB2312" w:eastAsia="仿宋_GB2312"/>
          <w:b/>
          <w:bCs/>
          <w:color w:val="auto"/>
          <w:sz w:val="32"/>
          <w:szCs w:val="32"/>
          <w:highlight w:val="none"/>
        </w:rPr>
        <w:t>政府信息公开</w:t>
      </w:r>
      <w:r>
        <w:rPr>
          <w:rFonts w:ascii="仿宋_GB2312" w:eastAsia="仿宋_GB2312"/>
          <w:b/>
          <w:bCs/>
          <w:color w:val="auto"/>
          <w:sz w:val="32"/>
          <w:szCs w:val="32"/>
          <w:highlight w:val="none"/>
        </w:rPr>
        <w:t>平台建设</w:t>
      </w:r>
      <w:r>
        <w:rPr>
          <w:rFonts w:hint="eastAsia" w:ascii="仿宋_GB2312" w:eastAsia="仿宋_GB2312"/>
          <w:b/>
          <w:bCs/>
          <w:color w:val="auto"/>
          <w:sz w:val="32"/>
          <w:szCs w:val="32"/>
          <w:highlight w:val="none"/>
        </w:rPr>
        <w:t>。</w:t>
      </w:r>
      <w:r>
        <w:rPr>
          <w:rFonts w:hint="eastAsia" w:ascii="仿宋_GB2312" w:hAnsi="Calibri" w:eastAsia="仿宋_GB2312" w:cs="Times New Roman"/>
          <w:color w:val="auto"/>
          <w:sz w:val="32"/>
          <w:szCs w:val="32"/>
          <w:lang w:val="en-US" w:eastAsia="zh-CN"/>
        </w:rPr>
        <w:t>2024年，我局进一步加强平台建设，完善信息公开载体建设，着力提升公开质量，</w:t>
      </w:r>
      <w:r>
        <w:rPr>
          <w:rFonts w:hint="eastAsia" w:ascii="仿宋_GB2312" w:eastAsia="仿宋_GB2312"/>
          <w:b w:val="0"/>
          <w:bCs w:val="0"/>
          <w:color w:val="auto"/>
          <w:sz w:val="32"/>
          <w:szCs w:val="32"/>
          <w:lang w:val="en-US" w:eastAsia="zh-CN"/>
        </w:rPr>
        <w:t>积极探索多途径公开方式，利用政府公示栏、办公楼一楼大厅宣传栏等，为群众、法人和其他组织获取政府信息提供便利。同时，紧贴公众对政务信息查阅需求，指导进一步规范政府信息公开平台建设，梳理细化主题分类，建立健全本部门信息公开主动公开栏目信息发布，并做好信息公开栏目的日常维护。</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2" w:firstLineChars="200"/>
        <w:jc w:val="both"/>
        <w:textAlignment w:val="auto"/>
        <w:rPr>
          <w:rFonts w:hint="eastAsia" w:ascii="仿宋_GB2312" w:hAnsi="Calibri" w:eastAsia="仿宋_GB2312" w:cs="Times New Roman"/>
          <w:color w:val="auto"/>
          <w:kern w:val="0"/>
          <w:sz w:val="32"/>
          <w:szCs w:val="32"/>
          <w:lang w:val="en-US" w:eastAsia="zh-CN" w:bidi="ar-SA"/>
        </w:rPr>
      </w:pPr>
      <w:r>
        <w:rPr>
          <w:rFonts w:ascii="仿宋_GB2312" w:eastAsia="仿宋_GB2312"/>
          <w:b/>
          <w:bCs/>
          <w:color w:val="auto"/>
          <w:sz w:val="32"/>
          <w:szCs w:val="32"/>
          <w:highlight w:val="none"/>
        </w:rPr>
        <w:t>5.监督保障</w:t>
      </w:r>
      <w:r>
        <w:rPr>
          <w:rFonts w:hint="eastAsia" w:ascii="仿宋_GB2312" w:eastAsia="仿宋_GB2312"/>
          <w:b/>
          <w:bCs/>
          <w:color w:val="auto"/>
          <w:sz w:val="32"/>
          <w:szCs w:val="32"/>
          <w:highlight w:val="none"/>
        </w:rPr>
        <w:t>。</w:t>
      </w:r>
      <w:r>
        <w:rPr>
          <w:rFonts w:hint="eastAsia" w:ascii="仿宋_GB2312" w:hAnsi="Calibri" w:eastAsia="仿宋_GB2312" w:cs="Times New Roman"/>
          <w:color w:val="auto"/>
          <w:sz w:val="32"/>
          <w:szCs w:val="32"/>
          <w:lang w:val="en-US" w:eastAsia="zh-CN"/>
        </w:rPr>
        <w:t>一是提高思想认识。定期开展政府信息培训会议，强化干部职工信息宣传意识。二是加强监督保障。持续加强政府网站负责栏目的保障和监管，加强信息公开保密、意识形态审查，坚决杜绝政治性、技术性差错。接受各类外部监督，及时进行整改和信息更新，保障群众获得信息的准确性和时效性。</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p>
      <w:pPr>
        <w:pStyle w:val="5"/>
        <w:spacing w:before="0" w:beforeAutospacing="0" w:after="0" w:afterAutospacing="0" w:line="600" w:lineRule="exact"/>
        <w:ind w:firstLine="640" w:firstLineChars="200"/>
        <w:jc w:val="both"/>
        <w:rPr>
          <w:rFonts w:ascii="黑体" w:hAnsi="黑体" w:eastAsia="黑体"/>
          <w:color w:val="auto"/>
          <w:sz w:val="32"/>
          <w:szCs w:val="32"/>
        </w:rPr>
      </w:pP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tblPrEx>
          <w:tblCellMar>
            <w:top w:w="0" w:type="dxa"/>
            <w:left w:w="108" w:type="dxa"/>
            <w:bottom w:w="0" w:type="dxa"/>
            <w:right w:w="108" w:type="dxa"/>
          </w:tblCellMar>
        </w:tblPrEx>
        <w:trPr>
          <w:trHeight w:val="567" w:hRule="atLeast"/>
        </w:trPr>
        <w:tc>
          <w:tcPr>
            <w:tcW w:w="8946"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blPrEx>
          <w:tblCellMar>
            <w:top w:w="0" w:type="dxa"/>
            <w:left w:w="108" w:type="dxa"/>
            <w:bottom w:w="0" w:type="dxa"/>
            <w:right w:w="108" w:type="dxa"/>
          </w:tblCellMar>
        </w:tblPrEx>
        <w:trPr>
          <w:trHeight w:val="567" w:hRule="atLeast"/>
        </w:trPr>
        <w:tc>
          <w:tcPr>
            <w:tcW w:w="223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2236"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2237"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2237" w:type="dxa"/>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blPrEx>
          <w:tblCellMar>
            <w:top w:w="0" w:type="dxa"/>
            <w:left w:w="108" w:type="dxa"/>
            <w:bottom w:w="0" w:type="dxa"/>
            <w:right w:w="108" w:type="dxa"/>
          </w:tblCellMar>
        </w:tblPrEx>
        <w:trPr>
          <w:trHeight w:val="567" w:hRule="atLeast"/>
        </w:trPr>
        <w:tc>
          <w:tcPr>
            <w:tcW w:w="223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223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3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3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3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2236"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3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2237" w:type="dxa"/>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946"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blPrEx>
          <w:tblCellMar>
            <w:top w:w="0" w:type="dxa"/>
            <w:left w:w="108" w:type="dxa"/>
            <w:bottom w:w="0" w:type="dxa"/>
            <w:right w:w="108" w:type="dxa"/>
          </w:tblCellMar>
        </w:tblPrEx>
        <w:trPr>
          <w:trHeight w:val="567" w:hRule="atLeast"/>
        </w:trPr>
        <w:tc>
          <w:tcPr>
            <w:tcW w:w="223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1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3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671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default"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116</w:t>
            </w:r>
            <w:bookmarkStart w:id="9" w:name="_GoBack"/>
            <w:bookmarkEnd w:id="9"/>
          </w:p>
        </w:tc>
      </w:tr>
      <w:tr>
        <w:tblPrEx>
          <w:tblCellMar>
            <w:top w:w="0" w:type="dxa"/>
            <w:left w:w="108" w:type="dxa"/>
            <w:bottom w:w="0" w:type="dxa"/>
            <w:right w:w="108" w:type="dxa"/>
          </w:tblCellMar>
        </w:tblPrEx>
        <w:trPr>
          <w:trHeight w:val="567" w:hRule="atLeast"/>
        </w:trPr>
        <w:tc>
          <w:tcPr>
            <w:tcW w:w="8946"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blPrEx>
          <w:tblCellMar>
            <w:top w:w="0" w:type="dxa"/>
            <w:left w:w="108" w:type="dxa"/>
            <w:bottom w:w="0" w:type="dxa"/>
            <w:right w:w="108" w:type="dxa"/>
          </w:tblCellMar>
        </w:tblPrEx>
        <w:trPr>
          <w:trHeight w:val="567" w:hRule="atLeast"/>
        </w:trPr>
        <w:tc>
          <w:tcPr>
            <w:tcW w:w="223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1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blPrEx>
          <w:tblCellMar>
            <w:top w:w="0" w:type="dxa"/>
            <w:left w:w="108" w:type="dxa"/>
            <w:bottom w:w="0" w:type="dxa"/>
            <w:right w:w="108" w:type="dxa"/>
          </w:tblCellMar>
        </w:tblPrEx>
        <w:trPr>
          <w:trHeight w:val="567" w:hRule="atLeast"/>
        </w:trPr>
        <w:tc>
          <w:tcPr>
            <w:tcW w:w="223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671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223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671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r>
      <w:tr>
        <w:tblPrEx>
          <w:tblCellMar>
            <w:top w:w="0" w:type="dxa"/>
            <w:left w:w="108" w:type="dxa"/>
            <w:bottom w:w="0" w:type="dxa"/>
            <w:right w:w="108" w:type="dxa"/>
          </w:tblCellMar>
        </w:tblPrEx>
        <w:trPr>
          <w:trHeight w:val="567" w:hRule="atLeast"/>
        </w:trPr>
        <w:tc>
          <w:tcPr>
            <w:tcW w:w="8946" w:type="dxa"/>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blPrEx>
          <w:tblCellMar>
            <w:top w:w="0" w:type="dxa"/>
            <w:left w:w="108" w:type="dxa"/>
            <w:bottom w:w="0" w:type="dxa"/>
            <w:right w:w="108" w:type="dxa"/>
          </w:tblCellMar>
        </w:tblPrEx>
        <w:trPr>
          <w:trHeight w:val="567" w:hRule="atLeast"/>
        </w:trPr>
        <w:tc>
          <w:tcPr>
            <w:tcW w:w="2236"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671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blPrEx>
          <w:tblCellMar>
            <w:top w:w="0" w:type="dxa"/>
            <w:left w:w="108" w:type="dxa"/>
            <w:bottom w:w="0" w:type="dxa"/>
            <w:right w:w="108" w:type="dxa"/>
          </w:tblCellMar>
        </w:tblPrEx>
        <w:trPr>
          <w:trHeight w:val="567" w:hRule="atLeast"/>
        </w:trPr>
        <w:tc>
          <w:tcPr>
            <w:tcW w:w="2236" w:type="dxa"/>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6710" w:type="dxa"/>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highlight w:val="none"/>
                <w:lang w:val="en-US" w:eastAsia="zh-CN"/>
              </w:rPr>
            </w:pPr>
            <w:r>
              <w:rPr>
                <w:rFonts w:hint="eastAsia" w:ascii="仿宋_GB2312" w:hAnsi="Times New Roman" w:eastAsia="仿宋_GB2312"/>
                <w:szCs w:val="21"/>
                <w:lang w:val="en-US" w:eastAsia="zh-CN"/>
              </w:rPr>
              <w:t>27</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highlight w:val="none"/>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highlight w:val="none"/>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highlight w:val="none"/>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highlight w:val="none"/>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highlight w:val="none"/>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highlight w:val="none"/>
                <w:lang w:val="en-US" w:eastAsia="zh-CN"/>
              </w:rPr>
            </w:pPr>
            <w:r>
              <w:rPr>
                <w:rFonts w:hint="eastAsia" w:ascii="仿宋_GB2312" w:hAnsi="Times New Roman" w:eastAsia="仿宋_GB2312"/>
                <w:szCs w:val="21"/>
                <w:lang w:val="en-US" w:eastAsia="zh-CN"/>
              </w:rPr>
              <w:t>27</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tabs>
                <w:tab w:val="left" w:pos="523"/>
              </w:tabs>
              <w:spacing w:after="180"/>
              <w:ind w:firstLine="210" w:firstLineChars="100"/>
              <w:jc w:val="both"/>
              <w:rPr>
                <w:rFonts w:hint="eastAsia" w:ascii="仿宋_GB2312" w:hAnsi="Times New Roman" w:eastAsia="仿宋_GB2312"/>
                <w:szCs w:val="21"/>
                <w:highlight w:val="none"/>
                <w:lang w:val="en-US" w:eastAsia="zh-CN"/>
              </w:rPr>
            </w:pPr>
            <w:r>
              <w:rPr>
                <w:rFonts w:hint="eastAsia" w:ascii="仿宋_GB2312" w:hAnsi="Times New Roman" w:eastAsia="仿宋_GB2312"/>
                <w:szCs w:val="21"/>
                <w:lang w:val="en-US" w:eastAsia="zh-CN"/>
              </w:rPr>
              <w:t>2</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highlight w:val="none"/>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highlight w:val="none"/>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highlight w:val="none"/>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highlight w:val="none"/>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highlight w:val="none"/>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tabs>
                <w:tab w:val="left" w:pos="523"/>
              </w:tabs>
              <w:spacing w:after="180"/>
              <w:ind w:firstLine="210" w:firstLineChars="100"/>
              <w:jc w:val="both"/>
              <w:rPr>
                <w:rFonts w:hint="eastAsia" w:ascii="仿宋_GB2312" w:hAnsi="Times New Roman" w:eastAsia="仿宋_GB2312"/>
                <w:szCs w:val="21"/>
                <w:highlight w:val="none"/>
                <w:lang w:val="en-US" w:eastAsia="zh-CN"/>
              </w:rPr>
            </w:pPr>
            <w:r>
              <w:rPr>
                <w:rFonts w:hint="eastAsia" w:ascii="仿宋_GB2312" w:hAnsi="Times New Roman" w:eastAsia="仿宋_GB2312"/>
                <w:szCs w:val="21"/>
                <w:lang w:val="en-US" w:eastAsia="zh-CN"/>
              </w:rPr>
              <w:t>2</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default" w:ascii="仿宋_GB2312" w:hAnsi="Times New Roman" w:eastAsia="仿宋_GB2312"/>
                <w:szCs w:val="21"/>
                <w:highlight w:val="none"/>
                <w:lang w:val="en-US" w:eastAsia="zh-CN"/>
              </w:rPr>
            </w:pPr>
            <w:r>
              <w:rPr>
                <w:rFonts w:hint="eastAsia" w:ascii="仿宋_GB2312" w:hAnsi="Times New Roman" w:eastAsia="仿宋_GB2312"/>
                <w:szCs w:val="21"/>
                <w:highlight w:val="none"/>
                <w:lang w:val="en-US" w:eastAsia="zh-CN"/>
              </w:rPr>
              <w:t>5</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highlight w:val="none"/>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highlight w:val="none"/>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highlight w:val="none"/>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highlight w:val="none"/>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highlight w:val="none"/>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highlight w:val="none"/>
                <w:lang w:val="en-US" w:eastAsia="zh-CN"/>
              </w:rPr>
            </w:pPr>
            <w:r>
              <w:rPr>
                <w:rFonts w:hint="eastAsia" w:ascii="仿宋_GB2312" w:hAnsi="Times New Roman" w:eastAsia="仿宋_GB2312"/>
                <w:szCs w:val="21"/>
                <w:highlight w:val="none"/>
                <w:lang w:val="en-US" w:eastAsia="zh-CN"/>
              </w:rPr>
              <w:t>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9</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cstheme="minorBidi"/>
                <w:kern w:val="2"/>
                <w:sz w:val="21"/>
                <w:szCs w:val="21"/>
                <w:lang w:val="en-US" w:eastAsia="zh-CN" w:bidi="ar-SA"/>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cstheme="minorBidi"/>
                <w:kern w:val="2"/>
                <w:sz w:val="21"/>
                <w:szCs w:val="21"/>
                <w:lang w:val="en-US" w:eastAsia="zh-CN" w:bidi="ar-SA"/>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15</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15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lang w:val="en-US" w:eastAsia="zh-CN"/>
              </w:rPr>
            </w:pPr>
            <w:r>
              <w:rPr>
                <w:rFonts w:hint="eastAsia" w:ascii="仿宋_GB2312" w:hAnsi="Times New Roman" w:eastAsia="仿宋_GB2312"/>
                <w:szCs w:val="21"/>
                <w:lang w:val="en-US" w:eastAsia="zh-CN"/>
              </w:rPr>
              <w:t>29</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29</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highlight w:val="none"/>
                <w:lang w:val="en-US" w:eastAsia="zh-CN"/>
              </w:rPr>
            </w:pPr>
            <w:r>
              <w:rPr>
                <w:rFonts w:hint="eastAsia" w:ascii="仿宋_GB2312" w:hAnsi="Times New Roman" w:eastAsia="仿宋_GB2312"/>
                <w:szCs w:val="21"/>
                <w:highlight w:val="none"/>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highlight w:val="none"/>
                <w:lang w:val="en-US" w:eastAsia="zh-CN" w:bidi="ar-SA"/>
              </w:rPr>
            </w:pPr>
            <w:r>
              <w:rPr>
                <w:rFonts w:hint="eastAsia" w:ascii="仿宋_GB2312" w:hAnsi="Times New Roman" w:eastAsia="仿宋_GB2312"/>
                <w:szCs w:val="21"/>
                <w:highlight w:val="none"/>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highlight w:val="none"/>
                <w:lang w:val="en-US" w:eastAsia="zh-CN" w:bidi="ar-SA"/>
              </w:rPr>
            </w:pPr>
            <w:r>
              <w:rPr>
                <w:rFonts w:hint="eastAsia" w:ascii="仿宋_GB2312" w:hAnsi="Times New Roman" w:eastAsia="仿宋_GB2312"/>
                <w:szCs w:val="21"/>
                <w:highlight w:val="none"/>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highlight w:val="none"/>
                <w:lang w:val="en-US" w:eastAsia="zh-CN" w:bidi="ar-SA"/>
              </w:rPr>
            </w:pPr>
            <w:r>
              <w:rPr>
                <w:rFonts w:hint="eastAsia" w:ascii="仿宋_GB2312" w:hAnsi="Times New Roman" w:eastAsia="仿宋_GB2312"/>
                <w:szCs w:val="21"/>
                <w:highlight w:val="none"/>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highlight w:val="none"/>
                <w:lang w:val="en-US" w:eastAsia="zh-CN" w:bidi="ar-SA"/>
              </w:rPr>
            </w:pPr>
            <w:r>
              <w:rPr>
                <w:rFonts w:hint="eastAsia" w:ascii="仿宋_GB2312" w:hAnsi="Times New Roman" w:eastAsia="仿宋_GB2312"/>
                <w:szCs w:val="21"/>
                <w:highlight w:val="none"/>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highlight w:val="none"/>
                <w:lang w:val="en-US" w:eastAsia="zh-CN" w:bidi="ar-SA"/>
              </w:rPr>
            </w:pPr>
            <w:r>
              <w:rPr>
                <w:rFonts w:hint="eastAsia" w:ascii="仿宋_GB2312" w:hAnsi="Times New Roman" w:eastAsia="仿宋_GB2312"/>
                <w:szCs w:val="21"/>
                <w:highlight w:val="none"/>
                <w:lang w:val="en-US" w:eastAsia="zh-CN"/>
              </w:rPr>
              <w:t>0</w:t>
            </w:r>
          </w:p>
        </w:tc>
        <w:tc>
          <w:tcPr>
            <w:tcW w:w="851" w:type="dxa"/>
            <w:shd w:val="clear" w:color="auto" w:fill="auto"/>
            <w:tcMar>
              <w:left w:w="108" w:type="dxa"/>
              <w:right w:w="108" w:type="dxa"/>
            </w:tcMar>
            <w:vAlign w:val="center"/>
          </w:tcPr>
          <w:p>
            <w:pPr>
              <w:widowControl/>
              <w:spacing w:after="180" w:line="200" w:lineRule="exact"/>
              <w:jc w:val="center"/>
              <w:rPr>
                <w:rFonts w:hint="default" w:ascii="仿宋_GB2312" w:hAnsi="Times New Roman" w:eastAsia="仿宋_GB2312"/>
                <w:szCs w:val="21"/>
                <w:highlight w:val="none"/>
                <w:lang w:val="en-US" w:eastAsia="zh-CN"/>
              </w:rPr>
            </w:pPr>
            <w:r>
              <w:rPr>
                <w:rFonts w:hint="eastAsia" w:ascii="仿宋_GB2312" w:hAnsi="Times New Roman" w:eastAsia="仿宋_GB2312"/>
                <w:szCs w:val="21"/>
                <w:highlight w:val="none"/>
                <w:lang w:val="en-US" w:eastAsia="zh-CN"/>
              </w:rPr>
              <w:t>0</w:t>
            </w:r>
          </w:p>
        </w:tc>
      </w:tr>
    </w:tbl>
    <w:p>
      <w:pPr>
        <w:pStyle w:val="5"/>
        <w:spacing w:before="0" w:beforeAutospacing="0" w:after="0" w:afterAutospacing="0" w:line="600" w:lineRule="exact"/>
        <w:jc w:val="both"/>
        <w:rPr>
          <w:rFonts w:ascii="黑体" w:hAnsi="黑体" w:eastAsia="黑体"/>
          <w:color w:val="auto"/>
          <w:sz w:val="32"/>
          <w:szCs w:val="32"/>
        </w:rPr>
      </w:pPr>
    </w:p>
    <w:p>
      <w:pPr>
        <w:pStyle w:val="5"/>
        <w:spacing w:before="0" w:beforeAutospacing="0" w:after="0" w:afterAutospacing="0" w:line="600" w:lineRule="exact"/>
        <w:ind w:firstLine="640" w:firstLineChars="200"/>
        <w:jc w:val="both"/>
        <w:rPr>
          <w:rFonts w:ascii="Times New Roman" w:hAnsi="Times New Roman"/>
          <w:color w:val="auto"/>
        </w:rPr>
      </w:pPr>
      <w:r>
        <w:rPr>
          <w:rFonts w:ascii="黑体" w:hAnsi="黑体" w:eastAsia="黑体"/>
          <w:color w:val="auto"/>
          <w:sz w:val="32"/>
          <w:szCs w:val="32"/>
        </w:rPr>
        <w:t>四、政府信息公开行政复议、行政诉讼情况</w:t>
      </w: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firstLineChars="0"/>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firstLineChars="0"/>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8</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4</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color w:val="auto"/>
                <w:lang w:val="en-US" w:eastAsia="zh-CN"/>
              </w:rPr>
              <w:t>1</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13</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cstheme="minorBidi"/>
                <w:kern w:val="2"/>
                <w:sz w:val="21"/>
                <w:szCs w:val="22"/>
                <w:lang w:val="en-US" w:eastAsia="zh-CN" w:bidi="ar-SA"/>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8</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1</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9</w:t>
            </w:r>
          </w:p>
        </w:tc>
      </w:tr>
    </w:tbl>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ascii="黑体" w:hAnsi="黑体" w:eastAsia="黑体"/>
          <w:color w:val="auto"/>
          <w:sz w:val="32"/>
          <w:szCs w:val="32"/>
        </w:rPr>
        <w:t>存在的主要问题及改进情况</w:t>
      </w:r>
    </w:p>
    <w:p>
      <w:pPr>
        <w:ind w:firstLine="640" w:firstLineChars="200"/>
        <w:rPr>
          <w:rFonts w:hint="eastAsia" w:ascii="仿宋_GB2312" w:hAnsi="Calibri" w:eastAsia="仿宋_GB2312" w:cs="Times New Roman"/>
          <w:color w:val="auto"/>
          <w:sz w:val="32"/>
          <w:szCs w:val="32"/>
          <w:lang w:eastAsia="zh-CN"/>
        </w:rPr>
      </w:pPr>
      <w:r>
        <w:rPr>
          <w:rFonts w:hint="eastAsia" w:ascii="仿宋_GB2312" w:hAnsi="Calibri" w:eastAsia="仿宋_GB2312" w:cs="Times New Roman"/>
          <w:color w:val="auto"/>
          <w:sz w:val="32"/>
          <w:szCs w:val="32"/>
        </w:rPr>
        <w:t>（一）问题清单</w:t>
      </w:r>
      <w:r>
        <w:rPr>
          <w:rFonts w:hint="eastAsia" w:ascii="仿宋_GB2312" w:hAnsi="Calibri" w:eastAsia="仿宋_GB2312" w:cs="Times New Roman"/>
          <w:color w:val="auto"/>
          <w:sz w:val="32"/>
          <w:szCs w:val="32"/>
          <w:lang w:eastAsia="zh-CN"/>
        </w:rPr>
        <w:t>。</w:t>
      </w:r>
    </w:p>
    <w:p>
      <w:pPr>
        <w:ind w:firstLine="640" w:firstLineChars="200"/>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2024年，我单位的政府信息公开工作虽然取得了一定成效，但仍存在一些不足：一是部分重点领域信息公开深度不够，公开内容还需更加全面；二是信息公开形式需进一步创新，互动性和便民性仍有待提高；三是工作人员的信息公开业务能力需要进一步加强。</w:t>
      </w:r>
    </w:p>
    <w:p>
      <w:pPr>
        <w:numPr>
          <w:ilvl w:val="0"/>
          <w:numId w:val="1"/>
        </w:numPr>
        <w:ind w:firstLine="640" w:firstLineChars="200"/>
        <w:rPr>
          <w:rFonts w:hint="eastAsia" w:ascii="仿宋_GB2312" w:hAnsi="Calibri" w:eastAsia="仿宋_GB2312" w:cs="Times New Roman"/>
          <w:b/>
          <w:bCs/>
          <w:color w:val="auto"/>
          <w:sz w:val="32"/>
          <w:szCs w:val="32"/>
        </w:rPr>
      </w:pPr>
      <w:r>
        <w:rPr>
          <w:rFonts w:hint="eastAsia" w:ascii="仿宋_GB2312" w:hAnsi="Calibri" w:eastAsia="仿宋_GB2312" w:cs="Times New Roman"/>
          <w:color w:val="auto"/>
          <w:sz w:val="32"/>
          <w:szCs w:val="32"/>
        </w:rPr>
        <w:t>改进举措。</w:t>
      </w:r>
    </w:p>
    <w:p>
      <w:pPr>
        <w:ind w:firstLine="640" w:firstLineChars="200"/>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一是落实政务公开工作要求,进一步深化重点领域信息公开，紧贴群众需求，拓展信息公开的广度和深度。加强宣传教育力度，提高广大干部群众对推行政府信息公开工作的重要性和必要性的认识。二是创新信息公开形式，加大微信、微博等新媒体的推广应用，通过全媒体渠道提升政府信息公开水平，扩大信息公开的覆盖面和影响力，充分利用互联网、大数据等手段，提升信息公开的便捷性和互动性。三是强化信息公开工作队伍建设，安排负责人员积极参加信息公开、电子政务方面的培训，提高信息公开工作人员的业务水平和电子政务应用能力。</w:t>
      </w:r>
    </w:p>
    <w:p>
      <w:pPr>
        <w:pStyle w:val="5"/>
        <w:numPr>
          <w:ilvl w:val="0"/>
          <w:numId w:val="2"/>
        </w:numPr>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其他需要报告的事项</w:t>
      </w:r>
    </w:p>
    <w:p>
      <w:pPr>
        <w:ind w:firstLine="640" w:firstLineChars="200"/>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1.2024年度本机关在处理政府信息公开申请过程中，严格按照</w:t>
      </w:r>
      <w:r>
        <w:rPr>
          <w:rFonts w:ascii="仿宋_GB2312" w:eastAsia="仿宋_GB2312"/>
          <w:color w:val="auto"/>
          <w:sz w:val="32"/>
          <w:szCs w:val="32"/>
        </w:rPr>
        <w:t>《政府信息公开信息处理费管理办法》</w:t>
      </w:r>
      <w:r>
        <w:rPr>
          <w:rFonts w:hint="eastAsia" w:ascii="仿宋_GB2312" w:eastAsia="仿宋_GB2312"/>
          <w:color w:val="auto"/>
          <w:sz w:val="32"/>
          <w:szCs w:val="32"/>
          <w:lang w:eastAsia="zh-CN"/>
        </w:rPr>
        <w:t>的</w:t>
      </w:r>
      <w:r>
        <w:rPr>
          <w:rFonts w:hint="eastAsia" w:ascii="仿宋_GB2312" w:hAnsi="Calibri" w:eastAsia="仿宋_GB2312" w:cs="Times New Roman"/>
          <w:color w:val="auto"/>
          <w:sz w:val="32"/>
          <w:szCs w:val="32"/>
          <w:lang w:val="en-US" w:eastAsia="zh-CN"/>
        </w:rPr>
        <w:t>规定执行，未收取信息处理费，确保公众能够无障碍获取所需信息，切实保障公民知情权，提升了政府公信力。</w:t>
      </w:r>
    </w:p>
    <w:p>
      <w:pPr>
        <w:ind w:firstLine="640" w:firstLineChars="200"/>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2.本行政机关落实上级年度政务公开工作要点情况。2024年以来，泰安市泰山区住房和城乡建设局进一步完善了依申请公开工作制度，基本形成协调互动、齐抓共管的工作机制，对依申请公开的事项定期分析研判，严格按照《中华人民共和国政府信息公开条例》规定出具答复告知书，规范格式和内容，确保用词准确、严谨、规范，避免低级错误，进一步提升依申请办理程序化、规范化、标准化水平。同时，泰安市泰山区住房和城乡建设局还着力建立健全信息公开收集、审查、处理机制，并由专人负责政府信息公开工作，按照“先审查，后公开”原则及保密审查要求对需公开的政府信息,经分管领导及主要领导审核签发。</w:t>
      </w:r>
    </w:p>
    <w:p>
      <w:pPr>
        <w:numPr>
          <w:ilvl w:val="0"/>
          <w:numId w:val="0"/>
        </w:numPr>
        <w:ind w:firstLine="640" w:firstLineChars="200"/>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3.本行政机关人大代表建议和政协提案办理结果公开情况。2024年，泰安市泰山区住房和城乡建设局办理人大代表建议、政协委员提案4件。其中代表建议2件，委员提案2件。通过加强重点督办、推进结果公开、落实跟踪办理，所有建议和提案均在办理期限内办结，吸收采纳4件，不予采纳0件，吸收采纳率为100%。</w:t>
      </w:r>
    </w:p>
    <w:p>
      <w:pPr>
        <w:ind w:firstLine="640" w:firstLineChars="200"/>
        <w:rPr>
          <w:rFonts w:hint="eastAsia" w:ascii="仿宋_GB2312" w:hAnsi="Calibri" w:eastAsia="仿宋_GB2312" w:cs="Times New Roman"/>
          <w:color w:val="auto"/>
          <w:sz w:val="32"/>
          <w:szCs w:val="32"/>
          <w:lang w:val="en-US" w:eastAsia="zh-CN"/>
        </w:rPr>
      </w:pPr>
      <w:r>
        <w:rPr>
          <w:rFonts w:hint="eastAsia" w:ascii="仿宋_GB2312" w:hAnsi="Calibri" w:eastAsia="仿宋_GB2312" w:cs="Times New Roman"/>
          <w:color w:val="auto"/>
          <w:sz w:val="32"/>
          <w:szCs w:val="32"/>
          <w:lang w:val="en-US" w:eastAsia="zh-CN"/>
        </w:rPr>
        <w:t>4.本行政机关年度政务公开工作创新情况。我局严格按照有关规定，建立健全政府信息公开监督制约机制，明确政府信息公开工作责任，加强对政府信息公开的监督考核，建立健全政府信息公开责任追究制度和社会评议制度，督促及时更新政务信息，提高公开质量和公开实效。广泛接受服务对象的监督，切实做好政府信息公开工作。</w:t>
      </w: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01"/>
    <w:family w:val="roman"/>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auto"/>
    <w:pitch w:val="default"/>
    <w:sig w:usb0="00000000" w:usb1="00000000" w:usb2="02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decorative"/>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A8E732"/>
    <w:multiLevelType w:val="singleLevel"/>
    <w:tmpl w:val="9FA8E732"/>
    <w:lvl w:ilvl="0" w:tentative="0">
      <w:start w:val="6"/>
      <w:numFmt w:val="chineseCounting"/>
      <w:suff w:val="nothing"/>
      <w:lvlText w:val="%1、"/>
      <w:lvlJc w:val="left"/>
      <w:rPr>
        <w:rFonts w:hint="eastAsia"/>
      </w:rPr>
    </w:lvl>
  </w:abstractNum>
  <w:abstractNum w:abstractNumId="1">
    <w:nsid w:val="D25C4463"/>
    <w:multiLevelType w:val="singleLevel"/>
    <w:tmpl w:val="D25C4463"/>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VkZGJkN2ZhYTljYTI5N2JhNDA3MzhiODcwYjQ5OTEifQ=="/>
  </w:docVars>
  <w:rsids>
    <w:rsidRoot w:val="009036FB"/>
    <w:rsid w:val="003F5380"/>
    <w:rsid w:val="005F04B3"/>
    <w:rsid w:val="007043DD"/>
    <w:rsid w:val="00725311"/>
    <w:rsid w:val="007C0E41"/>
    <w:rsid w:val="008260F2"/>
    <w:rsid w:val="008510D4"/>
    <w:rsid w:val="008E79FC"/>
    <w:rsid w:val="009036FB"/>
    <w:rsid w:val="00A6635A"/>
    <w:rsid w:val="00A935C0"/>
    <w:rsid w:val="01145951"/>
    <w:rsid w:val="03B82DAA"/>
    <w:rsid w:val="04624A99"/>
    <w:rsid w:val="04661011"/>
    <w:rsid w:val="046A7625"/>
    <w:rsid w:val="04BD1BA7"/>
    <w:rsid w:val="0587314F"/>
    <w:rsid w:val="07047ECE"/>
    <w:rsid w:val="07872474"/>
    <w:rsid w:val="09664528"/>
    <w:rsid w:val="0A93759F"/>
    <w:rsid w:val="0A981059"/>
    <w:rsid w:val="0BE44893"/>
    <w:rsid w:val="0C197EFD"/>
    <w:rsid w:val="0C886EAB"/>
    <w:rsid w:val="0C8C24F7"/>
    <w:rsid w:val="0C9C0D05"/>
    <w:rsid w:val="0D2C3CDA"/>
    <w:rsid w:val="0F0069DE"/>
    <w:rsid w:val="0F851480"/>
    <w:rsid w:val="10E2302E"/>
    <w:rsid w:val="118F7958"/>
    <w:rsid w:val="11934328"/>
    <w:rsid w:val="125C0BBE"/>
    <w:rsid w:val="13A22600"/>
    <w:rsid w:val="153951E6"/>
    <w:rsid w:val="153C0E2B"/>
    <w:rsid w:val="1680613E"/>
    <w:rsid w:val="17600C4E"/>
    <w:rsid w:val="17AF353E"/>
    <w:rsid w:val="18F03E0E"/>
    <w:rsid w:val="1B6554E0"/>
    <w:rsid w:val="1C896A53"/>
    <w:rsid w:val="1D93599B"/>
    <w:rsid w:val="1DF24184"/>
    <w:rsid w:val="1E15696A"/>
    <w:rsid w:val="1EFA468C"/>
    <w:rsid w:val="1F3A2287"/>
    <w:rsid w:val="1F5F1CED"/>
    <w:rsid w:val="1F7153B0"/>
    <w:rsid w:val="1FE168D2"/>
    <w:rsid w:val="1FE65F6B"/>
    <w:rsid w:val="20315E0F"/>
    <w:rsid w:val="20792A83"/>
    <w:rsid w:val="212D20A3"/>
    <w:rsid w:val="21537630"/>
    <w:rsid w:val="219676E9"/>
    <w:rsid w:val="225C2514"/>
    <w:rsid w:val="237D4DE7"/>
    <w:rsid w:val="240A66CC"/>
    <w:rsid w:val="26CD578F"/>
    <w:rsid w:val="283D0195"/>
    <w:rsid w:val="28433F5A"/>
    <w:rsid w:val="286D0FD7"/>
    <w:rsid w:val="287F68D4"/>
    <w:rsid w:val="2AC1560A"/>
    <w:rsid w:val="2ADB7E76"/>
    <w:rsid w:val="2BCF3D57"/>
    <w:rsid w:val="2D126E0D"/>
    <w:rsid w:val="2D887326"/>
    <w:rsid w:val="2D8E54E4"/>
    <w:rsid w:val="2ED9699B"/>
    <w:rsid w:val="2F0B32F8"/>
    <w:rsid w:val="2FBC45F2"/>
    <w:rsid w:val="31473E7A"/>
    <w:rsid w:val="318E1295"/>
    <w:rsid w:val="340A0022"/>
    <w:rsid w:val="341D4C10"/>
    <w:rsid w:val="344B53C2"/>
    <w:rsid w:val="35B77CD4"/>
    <w:rsid w:val="360601AF"/>
    <w:rsid w:val="363C648D"/>
    <w:rsid w:val="364F21ED"/>
    <w:rsid w:val="36D5085F"/>
    <w:rsid w:val="372142C2"/>
    <w:rsid w:val="37AB38CA"/>
    <w:rsid w:val="388A4CBC"/>
    <w:rsid w:val="3A1B4DE1"/>
    <w:rsid w:val="3A7C5F32"/>
    <w:rsid w:val="3AD924FC"/>
    <w:rsid w:val="3B072AE0"/>
    <w:rsid w:val="3BF75330"/>
    <w:rsid w:val="3CF97EF2"/>
    <w:rsid w:val="3D69400B"/>
    <w:rsid w:val="3F7B0026"/>
    <w:rsid w:val="3FF605CD"/>
    <w:rsid w:val="41735459"/>
    <w:rsid w:val="437F1B95"/>
    <w:rsid w:val="438576C5"/>
    <w:rsid w:val="43B3461E"/>
    <w:rsid w:val="443F4D58"/>
    <w:rsid w:val="454B60C2"/>
    <w:rsid w:val="4574354D"/>
    <w:rsid w:val="45AA59FF"/>
    <w:rsid w:val="468B3F91"/>
    <w:rsid w:val="4847319B"/>
    <w:rsid w:val="498D1081"/>
    <w:rsid w:val="4A3B288C"/>
    <w:rsid w:val="4A6D4340"/>
    <w:rsid w:val="4B1650A7"/>
    <w:rsid w:val="4B810673"/>
    <w:rsid w:val="4B887D52"/>
    <w:rsid w:val="4C0373D9"/>
    <w:rsid w:val="4C175738"/>
    <w:rsid w:val="4CA961D2"/>
    <w:rsid w:val="4D554A5F"/>
    <w:rsid w:val="4E2F67D9"/>
    <w:rsid w:val="4EE71234"/>
    <w:rsid w:val="4F247D92"/>
    <w:rsid w:val="4F2C10E6"/>
    <w:rsid w:val="4F367AC5"/>
    <w:rsid w:val="50CD4459"/>
    <w:rsid w:val="51742F1D"/>
    <w:rsid w:val="540366B0"/>
    <w:rsid w:val="540E3AF0"/>
    <w:rsid w:val="552F123F"/>
    <w:rsid w:val="56222B52"/>
    <w:rsid w:val="572A43B4"/>
    <w:rsid w:val="58201313"/>
    <w:rsid w:val="59123351"/>
    <w:rsid w:val="59186333"/>
    <w:rsid w:val="59743D5B"/>
    <w:rsid w:val="597F7258"/>
    <w:rsid w:val="598220BE"/>
    <w:rsid w:val="59E52169"/>
    <w:rsid w:val="5A85561B"/>
    <w:rsid w:val="5EEDC3F8"/>
    <w:rsid w:val="60AE3960"/>
    <w:rsid w:val="60DA1397"/>
    <w:rsid w:val="62A212A2"/>
    <w:rsid w:val="62A85ACE"/>
    <w:rsid w:val="632779F9"/>
    <w:rsid w:val="635D0996"/>
    <w:rsid w:val="64874BF3"/>
    <w:rsid w:val="654E5711"/>
    <w:rsid w:val="654E74BF"/>
    <w:rsid w:val="65FF0DA3"/>
    <w:rsid w:val="671F2A18"/>
    <w:rsid w:val="67A7735B"/>
    <w:rsid w:val="69BA386A"/>
    <w:rsid w:val="6A3C0286"/>
    <w:rsid w:val="6ACB0AD0"/>
    <w:rsid w:val="6AF7582C"/>
    <w:rsid w:val="6C3118E9"/>
    <w:rsid w:val="6D876F5F"/>
    <w:rsid w:val="6EEE9779"/>
    <w:rsid w:val="6F2B6AC3"/>
    <w:rsid w:val="6F3B6D06"/>
    <w:rsid w:val="6FD90DDB"/>
    <w:rsid w:val="73DB035D"/>
    <w:rsid w:val="73FFF66D"/>
    <w:rsid w:val="7472484C"/>
    <w:rsid w:val="75CB690A"/>
    <w:rsid w:val="76DDF9C0"/>
    <w:rsid w:val="77B81EDB"/>
    <w:rsid w:val="788A6608"/>
    <w:rsid w:val="79D056C1"/>
    <w:rsid w:val="7A387F61"/>
    <w:rsid w:val="7A42173D"/>
    <w:rsid w:val="7A94551C"/>
    <w:rsid w:val="7AF79EE2"/>
    <w:rsid w:val="7B1A30C8"/>
    <w:rsid w:val="7BA43E85"/>
    <w:rsid w:val="7BAE482D"/>
    <w:rsid w:val="7BE81FC4"/>
    <w:rsid w:val="7C9E6B26"/>
    <w:rsid w:val="7CC74D90"/>
    <w:rsid w:val="7CD251C4"/>
    <w:rsid w:val="7E590F57"/>
    <w:rsid w:val="7E5C8C4E"/>
    <w:rsid w:val="7E9DFC7C"/>
    <w:rsid w:val="7ED405DD"/>
    <w:rsid w:val="7EF944E8"/>
    <w:rsid w:val="7F3F70A9"/>
    <w:rsid w:val="7F7F0ED8"/>
    <w:rsid w:val="7FFEDE2F"/>
    <w:rsid w:val="8FBBAD1D"/>
    <w:rsid w:val="BA7B23C6"/>
    <w:rsid w:val="BC375350"/>
    <w:rsid w:val="BEF77322"/>
    <w:rsid w:val="F77C5607"/>
    <w:rsid w:val="FE7348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Www.Ndeer.Com</Company>
  <Pages>7</Pages>
  <Words>3112</Words>
  <Characters>3197</Characters>
  <Lines>30</Lines>
  <Paragraphs>8</Paragraphs>
  <TotalTime>0</TotalTime>
  <ScaleCrop>false</ScaleCrop>
  <LinksUpToDate>false</LinksUpToDate>
  <CharactersWithSpaces>3197</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2020-01-09T10:42:00Z</dcterms:created>
  <dc:creator>Administrator</dc:creator>
  <cp:lastModifiedBy>kylin</cp:lastModifiedBy>
  <cp:lastPrinted>2025-01-17T18:20:00Z</cp:lastPrinted>
  <dcterms:modified xsi:type="dcterms:W3CDTF">2025-01-21T17:19:26Z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325FFA31E1C84B45A9BF6E00D9B18B7E_13</vt:lpwstr>
  </property>
  <property fmtid="{D5CDD505-2E9C-101B-9397-08002B2CF9AE}" pid="4" name="KSOTemplateDocerSaveRecord">
    <vt:lpwstr>eyJoZGlkIjoiMmNjMWMwOWYyN2FmZDU4MGM0M2IwYzFlZjM3Nzg0ZWEiLCJ1c2VySWQiOiIyNDQzOTU4NjcifQ==</vt:lpwstr>
  </property>
</Properties>
</file>