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  <w:lang w:val="en-US" w:eastAsia="zh-CN"/>
        </w:rPr>
        <w:t>泰安市泰山区市场监督管理局</w:t>
      </w:r>
    </w:p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  <w:t>年政府信息公开工作年度报告</w:t>
      </w:r>
    </w:p>
    <w:p>
      <w:pPr>
        <w:pStyle w:val="5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根据《中华人民共和国政府信息公开条例》，特向社会公布202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，各级人民政府的政府信息公开工作年度报告还应当包括工作考核、社会评议和责任追究结果情况；其他需要报告的事项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报告中所列数据的统计期限自202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年12月31日止。报告的电子版可在区政府信息公开专栏（ http://www.sdtaishan.gov.cn/）下载。如对本报告有任何疑问，请与泰安市泰山区市场监督管理局办公室联系（地址：泰山区东岳大街48号泰山区市场监管局；邮编：271000；电话：0538-6113829；传真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0538-6110109；电子邮箱：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"mailto:tsqscjdglj@ta.shandong.cn"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tsqscjdglj@ta.shandong.cn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)。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总体情况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2021年，泰山区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市场监督管理局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坚持以习近平新时代中国特色社会主义思想为指导，深入贯彻落实中央和省、市、区的安排部署，认真贯彻落实《中华人民共和国政府信息公开条例》，面对新冠疫情、创城攻坚等多重挑战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深入推进政务公开各项工作落实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，全力推进泰山区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市场监管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领域政府信息公开工作又上新水平。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主动公开。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全年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泰山区市场监督管理局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通过区政府信息公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开平台及时公布工作动态、行政权力运行公开等信息共计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2.依申请公开。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泰山区市场监督管理局收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到政府信息公开申请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2条，均办理完结。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3.政府信息管理。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为妥善处理好公开和保密的关系，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泰山区市场监督管理局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公开内容按照公开流程填写《政府信息公开审批表》，对将进入公开程序的各类政府信息进行保密审查，严格执行信息公开申请、发布、审核制度，保证政府信息公开内容的全面性、准确性。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4.政府信息公开平台建设。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报告的电子版可在泰山区人民政府网站（www.sdtaishan.gov.cn）下载，在泰安市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泰山区市场监督管理局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三楼办公室设置了现场查阅点。如对本报告有任何疑问，请与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泰山区市场监督管理局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联系（地址：泰安市泰山区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东岳大街48号，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邮编271000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6113829，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传真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lang w:val="en-US" w:eastAsia="zh-CN"/>
        </w:rPr>
        <w:t>6110109，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"mailto:tsqscjdglj@ta.shandong.cn"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tsqscjdglj@ta.shandong.cn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)。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5.监督保障。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为切实加强和扎实推进政府信息公开工作，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泰山区市场监督管理局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成立了以主要负责人为组长，领导班子成员为副组长，各科室负责人为成员的政府信息公开工作领导小组，并下设办公室负责政府信息公开工作的日常工作。目前，由1名班子成员分工政务公开工作，1名同志具体负责，本年度开展了2次业务培训。2021年，未发生因不履行政务公开义务而发生的责任追究情况。</w:t>
      </w:r>
    </w:p>
    <w:p>
      <w:pPr>
        <w:pStyle w:val="5"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主动公开政府信息情况</w:t>
      </w:r>
    </w:p>
    <w:tbl>
      <w:tblPr>
        <w:tblStyle w:val="6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收到和处理政府信息公开申请情况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600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一、</w:t>
            </w:r>
            <w:bookmarkStart w:id="0" w:name="_Hlk66973412"/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（二）部分公开（</w:t>
            </w:r>
            <w:bookmarkStart w:id="1" w:name="_Hlk66973981"/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区分处理的，只计这一情形，不计其他情形</w:t>
            </w:r>
            <w:bookmarkEnd w:id="1"/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2.</w:t>
            </w:r>
            <w:bookmarkStart w:id="2" w:name="_Hlk66974104"/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4.</w:t>
            </w:r>
            <w:bookmarkStart w:id="3" w:name="_Hlk66974290"/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6.</w:t>
            </w:r>
            <w:bookmarkStart w:id="4" w:name="_Hlk66974555"/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8.</w:t>
            </w:r>
            <w:bookmarkStart w:id="5" w:name="_Hlk66975211"/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2.</w:t>
            </w:r>
            <w:bookmarkStart w:id="6" w:name="_Hlk66975392"/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3.</w:t>
            </w:r>
            <w:bookmarkStart w:id="7" w:name="_Hlk66975466"/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1.</w:t>
            </w:r>
            <w:bookmarkStart w:id="8" w:name="_Hlk66975537"/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20" w:firstLineChars="10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bookmarkStart w:id="9" w:name="_Hlk67039688"/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  <w:t>0</w:t>
            </w:r>
          </w:p>
        </w:tc>
      </w:tr>
    </w:tbl>
    <w:p>
      <w:pPr>
        <w:pStyle w:val="5"/>
        <w:numPr>
          <w:ilvl w:val="0"/>
          <w:numId w:val="2"/>
        </w:numPr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存在的主要问题及改进情况</w:t>
      </w:r>
    </w:p>
    <w:p>
      <w:pPr>
        <w:widowControl/>
        <w:shd w:val="clear" w:color="auto" w:fill="FFFFFF"/>
        <w:spacing w:line="560" w:lineRule="atLeast"/>
        <w:ind w:firstLine="6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2021年，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泰山区市场监督管理局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政府信息公开工作在信息发布量、发布时效性上虽然取得了一定的成绩，但与上级的要求、公众期望、先进单位相比，还存在一些不足和短板。主要表现：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信息公开申请受理以及答复的实践数量偏少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信息公开的内容有待进一步完善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信息发布形式单一。</w:t>
      </w:r>
    </w:p>
    <w:p>
      <w:pPr>
        <w:widowControl/>
        <w:shd w:val="clear" w:color="auto" w:fill="FFFFFF"/>
        <w:spacing w:line="560" w:lineRule="atLeast"/>
        <w:ind w:firstLine="64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下一步重点做好以下工作：一是加强队伍建设，提升业务水平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按照区委、区政府的要求，对工作人员进行政府信息公开方面的培训，进一步提升公开意识，强化工作纪律，优化业务水平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打造一支对政务公开工作认识深刻、纪律过硬、业务娴熟的工作队伍，将政府信息公开工作融入到各项日常工作中；二是加强日常管理，进一步完善政务公开制度流程，自觉接受社会各界的监督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三是加强平台建设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在巩固先有公开方式的基础上，要充分利用微信、微博等政务新媒体平台，强化参与功能，及时更新内容，创新公开办法、丰富公开形式，以多样途径推进泰山区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市场监管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领域政务公开工作进一步提升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方便群众查询使用。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420" w:lineRule="atLeast"/>
        <w:ind w:left="0" w:leftChars="0"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其他需要报告的事项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420" w:lineRule="atLeast"/>
        <w:ind w:leftChars="200" w:right="0" w:rightChars="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10" w:name="_GoBack"/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1.依据《政府信息公开信息处理费管理办法》收取信息处理费的情况：202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年区市场监管局无收取信息处理费的事项。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2.区市场监管局积极落实区政府办政务公开工作相关要求，进行信息更新，认真抓好落实。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3.人大代表建议和政协提案办理结果公开情况：202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年区市场监管局办理人大建议政协提案共计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件，并进行了公示。</w:t>
      </w:r>
    </w:p>
    <w:bookmarkEnd w:id="10"/>
    <w:p>
      <w:pPr>
        <w:pStyle w:val="5"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EEDA7B"/>
    <w:multiLevelType w:val="singleLevel"/>
    <w:tmpl w:val="A9EEDA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8F267E"/>
    <w:multiLevelType w:val="singleLevel"/>
    <w:tmpl w:val="CB8F267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I2YmZjOTlkNzgyNjhmMzUzMDU0ZGRhZDI5MjJhZjEifQ=="/>
  </w:docVars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4624A99"/>
    <w:rsid w:val="04661011"/>
    <w:rsid w:val="04BD1BA7"/>
    <w:rsid w:val="0A300FF7"/>
    <w:rsid w:val="0BE44893"/>
    <w:rsid w:val="0C197EFD"/>
    <w:rsid w:val="0C886EAB"/>
    <w:rsid w:val="11401B02"/>
    <w:rsid w:val="118F7958"/>
    <w:rsid w:val="14BE6BFD"/>
    <w:rsid w:val="1512745F"/>
    <w:rsid w:val="153C0E2B"/>
    <w:rsid w:val="17600C4E"/>
    <w:rsid w:val="20315E0F"/>
    <w:rsid w:val="20792A83"/>
    <w:rsid w:val="21537630"/>
    <w:rsid w:val="283D0195"/>
    <w:rsid w:val="2D087520"/>
    <w:rsid w:val="2D126E0D"/>
    <w:rsid w:val="2ED9699B"/>
    <w:rsid w:val="31473E7A"/>
    <w:rsid w:val="318E1295"/>
    <w:rsid w:val="364F21ED"/>
    <w:rsid w:val="372142C2"/>
    <w:rsid w:val="388A4CBC"/>
    <w:rsid w:val="3A395228"/>
    <w:rsid w:val="3BF75330"/>
    <w:rsid w:val="3CD411CD"/>
    <w:rsid w:val="4E2F67D9"/>
    <w:rsid w:val="50CD4459"/>
    <w:rsid w:val="540366B0"/>
    <w:rsid w:val="59186333"/>
    <w:rsid w:val="60DA1397"/>
    <w:rsid w:val="635D0996"/>
    <w:rsid w:val="671F2A18"/>
    <w:rsid w:val="6D876F5F"/>
    <w:rsid w:val="76BC4263"/>
    <w:rsid w:val="7A387F61"/>
    <w:rsid w:val="7C94210C"/>
    <w:rsid w:val="7F3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6</Pages>
  <Words>2317</Words>
  <Characters>2515</Characters>
  <Lines>30</Lines>
  <Paragraphs>8</Paragraphs>
  <TotalTime>28</TotalTime>
  <ScaleCrop>false</ScaleCrop>
  <LinksUpToDate>false</LinksUpToDate>
  <CharactersWithSpaces>2520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2020-01-06T10:42:00Z</dcterms:created>
  <dc:creator>Administrator</dc:creator>
  <cp:lastModifiedBy>Administrator</cp:lastModifiedBy>
  <cp:lastPrinted>2022-01-25T15:45:00Z</cp:lastPrinted>
  <dcterms:modified xsi:type="dcterms:W3CDTF">2023-02-15T02:37:53Z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88C9F9DA849E46FCA024825035A0B913</vt:lpwstr>
  </property>
</Properties>
</file>