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utoSpaceDE w:val="0"/>
        <w:autoSpaceDN w:val="0"/>
        <w:spacing w:line="600" w:lineRule="exact"/>
        <w:ind w:left="420" w:right="612"/>
        <w:jc w:val="center"/>
        <w:rPr>
          <w:rFonts w:ascii="仿宋_GB2312" w:hAnsi="仿宋_GB2312" w:eastAsia="仿宋_GB2312" w:cs="仿宋_GB2312"/>
          <w:sz w:val="32"/>
          <w:szCs w:val="32"/>
        </w:rPr>
      </w:pPr>
      <w:bookmarkStart w:id="1" w:name="_GoBack"/>
      <w:bookmarkEnd w:id="1"/>
    </w:p>
    <w:p>
      <w:pPr>
        <w:pStyle w:val="3"/>
        <w:autoSpaceDE w:val="0"/>
        <w:autoSpaceDN w:val="0"/>
        <w:spacing w:line="600" w:lineRule="exact"/>
        <w:ind w:left="420" w:right="612"/>
        <w:jc w:val="center"/>
        <w:rPr>
          <w:rFonts w:ascii="仿宋_GB2312" w:hAnsi="仿宋_GB2312" w:eastAsia="仿宋_GB2312" w:cs="仿宋_GB2312"/>
          <w:sz w:val="32"/>
          <w:szCs w:val="32"/>
        </w:rPr>
      </w:pPr>
    </w:p>
    <w:p>
      <w:pPr>
        <w:pStyle w:val="3"/>
        <w:autoSpaceDE w:val="0"/>
        <w:autoSpaceDN w:val="0"/>
        <w:spacing w:line="600" w:lineRule="exact"/>
        <w:ind w:left="420" w:right="612"/>
        <w:jc w:val="center"/>
        <w:rPr>
          <w:rFonts w:ascii="仿宋_GB2312" w:hAnsi="仿宋_GB2312" w:eastAsia="仿宋_GB2312" w:cs="仿宋_GB2312"/>
          <w:sz w:val="32"/>
          <w:szCs w:val="32"/>
        </w:rPr>
      </w:pPr>
    </w:p>
    <w:p>
      <w:pPr>
        <w:pStyle w:val="3"/>
        <w:autoSpaceDE w:val="0"/>
        <w:autoSpaceDN w:val="0"/>
        <w:spacing w:beforeLines="50" w:line="340" w:lineRule="exact"/>
        <w:ind w:left="420" w:right="612"/>
        <w:jc w:val="center"/>
        <w:rPr>
          <w:rFonts w:ascii="仿宋_GB2312" w:hAnsi="仿宋_GB2312" w:eastAsia="仿宋_GB2312" w:cs="仿宋_GB2312"/>
          <w:sz w:val="32"/>
          <w:szCs w:val="32"/>
        </w:rPr>
      </w:pPr>
    </w:p>
    <w:p>
      <w:pPr>
        <w:pStyle w:val="3"/>
        <w:autoSpaceDE w:val="0"/>
        <w:autoSpaceDN w:val="0"/>
        <w:spacing w:line="600" w:lineRule="exact"/>
        <w:ind w:left="420" w:right="612"/>
        <w:jc w:val="center"/>
        <w:rPr>
          <w:rFonts w:ascii="仿宋_GB2312" w:hAnsi="仿宋_GB2312" w:eastAsia="仿宋_GB2312" w:cs="仿宋_GB2312"/>
          <w:sz w:val="32"/>
          <w:szCs w:val="32"/>
        </w:rPr>
      </w:pPr>
    </w:p>
    <w:p>
      <w:pPr>
        <w:jc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泰山政办字</w:t>
      </w:r>
      <w:r>
        <w:rPr>
          <w:rFonts w:hint="eastAsia" w:ascii="仿宋_GB2312" w:hAnsi="宋体" w:eastAsia="仿宋_GB2312"/>
          <w:color w:val="000000" w:themeColor="text1"/>
          <w:sz w:val="32"/>
          <w:szCs w:val="32"/>
          <w14:textFill>
            <w14:solidFill>
              <w14:schemeClr w14:val="tx1"/>
            </w14:solidFill>
          </w14:textFill>
        </w:rPr>
        <w:t>〔2022〕</w:t>
      </w:r>
      <w:r>
        <w:rPr>
          <w:rFonts w:hint="eastAsia" w:ascii="仿宋_GB2312" w:hAnsi="宋体" w:eastAsia="仿宋_GB2312"/>
          <w:color w:val="000000" w:themeColor="text1"/>
          <w:sz w:val="32"/>
          <w:szCs w:val="32"/>
          <w:lang w:val="en-US" w:eastAsia="zh-CN"/>
          <w14:textFill>
            <w14:solidFill>
              <w14:schemeClr w14:val="tx1"/>
            </w14:solidFill>
          </w14:textFill>
        </w:rPr>
        <w:t>4</w:t>
      </w:r>
      <w:r>
        <w:rPr>
          <w:rFonts w:hint="eastAsia" w:ascii="仿宋_GB2312" w:hAnsi="宋体" w:eastAsia="仿宋_GB2312"/>
          <w:color w:val="000000" w:themeColor="text1"/>
          <w:sz w:val="32"/>
          <w:szCs w:val="32"/>
          <w14:textFill>
            <w14:solidFill>
              <w14:schemeClr w14:val="tx1"/>
            </w14:solidFill>
          </w14:textFill>
        </w:rPr>
        <w:t>号</w:t>
      </w:r>
    </w:p>
    <w:p>
      <w:pPr>
        <w:spacing w:line="600" w:lineRule="exact"/>
        <w:jc w:val="center"/>
        <w:rPr>
          <w:rFonts w:ascii="宋体" w:hAnsi="宋体"/>
          <w:color w:val="000000" w:themeColor="text1"/>
          <w:sz w:val="40"/>
          <w:szCs w:val="40"/>
          <w14:textFill>
            <w14:solidFill>
              <w14:schemeClr w14:val="tx1"/>
            </w14:solidFill>
          </w14:textFill>
        </w:rPr>
      </w:pPr>
    </w:p>
    <w:p>
      <w:pPr>
        <w:spacing w:line="600" w:lineRule="exact"/>
        <w:jc w:val="center"/>
        <w:rPr>
          <w:color w:val="000000" w:themeColor="text1"/>
          <w:sz w:val="44"/>
          <w:szCs w:val="44"/>
          <w14:textFill>
            <w14:solidFill>
              <w14:schemeClr w14:val="tx1"/>
            </w14:solidFill>
          </w14:textFill>
        </w:rPr>
      </w:pPr>
    </w:p>
    <w:p>
      <w:pPr>
        <w:spacing w:line="600" w:lineRule="exact"/>
        <w:jc w:val="center"/>
        <w:rPr>
          <w:rFonts w:hint="eastAsia" w:ascii="方正小标宋简体" w:hAnsi="经典粗宋简" w:eastAsia="方正小标宋简体" w:cs="经典粗宋简"/>
          <w:bCs/>
          <w:color w:val="000000" w:themeColor="text1"/>
          <w:sz w:val="44"/>
          <w:szCs w:val="44"/>
          <w14:textFill>
            <w14:solidFill>
              <w14:schemeClr w14:val="tx1"/>
            </w14:solidFill>
          </w14:textFill>
        </w:rPr>
      </w:pPr>
      <w:r>
        <w:rPr>
          <w:rFonts w:hint="eastAsia" w:ascii="方正小标宋简体" w:hAnsi="经典粗宋简" w:eastAsia="方正小标宋简体" w:cs="经典粗宋简"/>
          <w:bCs/>
          <w:color w:val="000000" w:themeColor="text1"/>
          <w:sz w:val="44"/>
          <w:szCs w:val="44"/>
          <w14:textFill>
            <w14:solidFill>
              <w14:schemeClr w14:val="tx1"/>
            </w14:solidFill>
          </w14:textFill>
        </w:rPr>
        <w:t>泰安市泰山区</w:t>
      </w:r>
      <w:r>
        <w:rPr>
          <w:rFonts w:hint="eastAsia" w:ascii="方正小标宋简体" w:hAnsi="经典粗宋简" w:eastAsia="方正小标宋简体" w:cs="经典粗宋简"/>
          <w:bCs/>
          <w:color w:val="000000" w:themeColor="text1"/>
          <w:sz w:val="44"/>
          <w:szCs w:val="44"/>
          <w:shd w:val="clear" w:color="auto" w:fill="FFFFFF"/>
          <w14:textFill>
            <w14:solidFill>
              <w14:schemeClr w14:val="tx1"/>
            </w14:solidFill>
          </w14:textFill>
        </w:rPr>
        <w:t>人民</w:t>
      </w:r>
      <w:r>
        <w:rPr>
          <w:rFonts w:hint="eastAsia" w:ascii="方正小标宋简体" w:hAnsi="经典粗宋简" w:eastAsia="方正小标宋简体" w:cs="经典粗宋简"/>
          <w:bCs/>
          <w:color w:val="000000" w:themeColor="text1"/>
          <w:sz w:val="44"/>
          <w:szCs w:val="44"/>
          <w14:textFill>
            <w14:solidFill>
              <w14:schemeClr w14:val="tx1"/>
            </w14:solidFill>
          </w14:textFill>
        </w:rPr>
        <w:t>政府办公室</w:t>
      </w:r>
    </w:p>
    <w:p>
      <w:pPr>
        <w:spacing w:line="600" w:lineRule="exact"/>
        <w:jc w:val="center"/>
        <w:rPr>
          <w:rFonts w:hint="eastAsia" w:ascii="方正小标宋简体" w:hAnsi="经典粗宋简" w:eastAsia="方正小标宋简体" w:cs="经典粗宋简"/>
          <w:bCs/>
          <w:color w:val="000000" w:themeColor="text1"/>
          <w:sz w:val="44"/>
          <w:szCs w:val="44"/>
          <w:shd w:val="clear" w:color="auto" w:fill="FFFFFF"/>
          <w14:textFill>
            <w14:solidFill>
              <w14:schemeClr w14:val="tx1"/>
            </w14:solidFill>
          </w14:textFill>
        </w:rPr>
      </w:pPr>
      <w:r>
        <w:rPr>
          <w:rFonts w:hint="eastAsia" w:ascii="方正小标宋简体" w:hAnsi="经典粗宋简" w:eastAsia="方正小标宋简体" w:cs="经典粗宋简"/>
          <w:bCs/>
          <w:color w:val="000000" w:themeColor="text1"/>
          <w:sz w:val="44"/>
          <w:szCs w:val="44"/>
          <w:shd w:val="clear" w:color="auto" w:fill="FFFFFF"/>
          <w14:textFill>
            <w14:solidFill>
              <w14:schemeClr w14:val="tx1"/>
            </w14:solidFill>
          </w14:textFill>
        </w:rPr>
        <w:t>关于实施财政资金股权投资的通知</w:t>
      </w:r>
    </w:p>
    <w:p>
      <w:pPr>
        <w:pStyle w:val="8"/>
        <w:widowControl w:val="0"/>
        <w:spacing w:before="0" w:beforeAutospacing="0" w:after="0" w:afterAutospacing="0" w:line="600" w:lineRule="exact"/>
        <w:ind w:firstLine="640" w:firstLineChars="200"/>
        <w:rPr>
          <w:rFonts w:ascii="仿宋_GB2312" w:hAnsi="仿宋"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各街道办事处、镇人民政府，各园区管委会，区政府有关部门：</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16" w:firstLineChars="200"/>
        <w:jc w:val="both"/>
        <w:textAlignment w:val="auto"/>
        <w:rPr>
          <w:rFonts w:ascii="微软雅黑" w:hAnsi="微软雅黑" w:eastAsia="微软雅黑"/>
          <w:color w:val="000000" w:themeColor="text1"/>
          <w:spacing w:val="-6"/>
          <w:sz w:val="27"/>
          <w:szCs w:val="27"/>
          <w14:textFill>
            <w14:solidFill>
              <w14:schemeClr w14:val="tx1"/>
            </w14:solidFill>
          </w14:textFill>
        </w:rPr>
      </w:pPr>
      <w:r>
        <w:rPr>
          <w:rFonts w:hint="eastAsia" w:ascii="仿宋_GB2312" w:hAnsi="仿宋" w:eastAsia="仿宋_GB2312"/>
          <w:color w:val="000000" w:themeColor="text1"/>
          <w:spacing w:val="-6"/>
          <w:sz w:val="32"/>
          <w:szCs w:val="32"/>
          <w14:textFill>
            <w14:solidFill>
              <w14:schemeClr w14:val="tx1"/>
            </w14:solidFill>
          </w14:textFill>
        </w:rPr>
        <w:t>为进一步充分发挥财政资金的杠杆作用，创新财政资金投入方式，加大对企业支持力度，推动产业转型升级，引导产业高质量发展，根据《山东省人民政府关于实施财政资金股权投资改革试点的意见》（鲁政字〔2020〕16号）</w:t>
      </w:r>
      <w:r>
        <w:rPr>
          <w:rFonts w:hint="eastAsia" w:ascii="仿宋_GB2312" w:hAnsi="仿宋" w:eastAsia="仿宋_GB2312" w:cstheme="minorBidi"/>
          <w:color w:val="000000" w:themeColor="text1"/>
          <w:spacing w:val="-6"/>
          <w:kern w:val="2"/>
          <w:sz w:val="32"/>
          <w:szCs w:val="32"/>
          <w14:textFill>
            <w14:solidFill>
              <w14:schemeClr w14:val="tx1"/>
            </w14:solidFill>
          </w14:textFill>
        </w:rPr>
        <w:t>、</w:t>
      </w:r>
      <w:r>
        <w:rPr>
          <w:rFonts w:hint="eastAsia" w:ascii="仿宋_GB2312" w:hAnsi="仿宋" w:eastAsia="仿宋_GB2312"/>
          <w:color w:val="000000" w:themeColor="text1"/>
          <w:spacing w:val="-6"/>
          <w:sz w:val="32"/>
          <w:szCs w:val="32"/>
          <w14:textFill>
            <w14:solidFill>
              <w14:schemeClr w14:val="tx1"/>
            </w14:solidFill>
          </w14:textFill>
        </w:rPr>
        <w:t>《泰安市人民政府关于实施市级财政资金股权投资改革试点的通知》（泰政字〔2020〕45号），开展股权投资工作。结合我区实际，现就有关事项通知如下：</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黑体" w:hAnsi="黑体" w:eastAsia="黑体" w:cs="黑体"/>
          <w:color w:val="000000" w:themeColor="text1"/>
          <w:sz w:val="32"/>
          <w:szCs w:val="27"/>
          <w14:textFill>
            <w14:solidFill>
              <w14:schemeClr w14:val="tx1"/>
            </w14:solidFill>
          </w14:textFill>
        </w:rPr>
      </w:pPr>
      <w:r>
        <w:rPr>
          <w:rStyle w:val="11"/>
          <w:rFonts w:hint="eastAsia" w:ascii="黑体" w:hAnsi="黑体" w:eastAsia="黑体" w:cs="黑体"/>
          <w:b w:val="0"/>
          <w:bCs w:val="0"/>
          <w:color w:val="000000" w:themeColor="text1"/>
          <w:sz w:val="32"/>
          <w:szCs w:val="27"/>
          <w14:textFill>
            <w14:solidFill>
              <w14:schemeClr w14:val="tx1"/>
            </w14:solidFill>
          </w14:textFill>
        </w:rPr>
        <w:t>一、基本原则</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微软雅黑" w:hAnsi="微软雅黑" w:eastAsia="微软雅黑"/>
          <w:color w:val="000000" w:themeColor="text1"/>
          <w:sz w:val="27"/>
          <w:szCs w:val="27"/>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（一）政府主导，市场运作。</w:t>
      </w:r>
      <w:r>
        <w:rPr>
          <w:rFonts w:hint="eastAsia" w:ascii="仿宋_GB2312" w:hAnsi="仿宋" w:eastAsia="仿宋_GB2312"/>
          <w:color w:val="000000" w:themeColor="text1"/>
          <w:sz w:val="32"/>
          <w:szCs w:val="32"/>
          <w14:textFill>
            <w14:solidFill>
              <w14:schemeClr w14:val="tx1"/>
            </w14:solidFill>
          </w14:textFill>
        </w:rPr>
        <w:t>通过股权投资方式充分发挥财政资金的杠杆作用，由区财政局委托投资机构对财政资金实施股权投资管理，项目投资按市场化方式运作。</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（二）集中投入，滚动使用。</w:t>
      </w:r>
      <w:r>
        <w:rPr>
          <w:rFonts w:hint="eastAsia" w:ascii="仿宋_GB2312" w:hAnsi="仿宋" w:eastAsia="仿宋_GB2312"/>
          <w:color w:val="000000" w:themeColor="text1"/>
          <w:sz w:val="32"/>
          <w:szCs w:val="32"/>
          <w14:textFill>
            <w14:solidFill>
              <w14:schemeClr w14:val="tx1"/>
            </w14:solidFill>
          </w14:textFill>
        </w:rPr>
        <w:t>突破财政资金条块管理模式，多渠道筹集资金，集中资金投入，通过阶段性持有股权、适时退出获得合理回报实现财政资金良性循环和保值增值。财政资金投资本金及收益用于产业发展的再投入，实现财政资金的长期、可持续支持。</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（三）防控风险，规范管理。</w:t>
      </w:r>
      <w:r>
        <w:rPr>
          <w:rFonts w:hint="eastAsia" w:ascii="仿宋_GB2312" w:hAnsi="仿宋" w:eastAsia="仿宋_GB2312"/>
          <w:color w:val="000000" w:themeColor="text1"/>
          <w:sz w:val="32"/>
          <w:szCs w:val="32"/>
          <w14:textFill>
            <w14:solidFill>
              <w14:schemeClr w14:val="tx1"/>
            </w14:solidFill>
          </w14:textFill>
        </w:rPr>
        <w:t>严格财政资金监管和投资项目管理，及时开展绩效评价和跟踪问效，建立有效的风险防范体系和激励约束机制。</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Style w:val="11"/>
          <w:rFonts w:ascii="黑体" w:hAnsi="黑体" w:eastAsia="黑体" w:cs="黑体"/>
          <w:b w:val="0"/>
          <w:bCs w:val="0"/>
          <w:color w:val="000000" w:themeColor="text1"/>
          <w:sz w:val="32"/>
          <w:szCs w:val="27"/>
          <w14:textFill>
            <w14:solidFill>
              <w14:schemeClr w14:val="tx1"/>
            </w14:solidFill>
          </w14:textFill>
        </w:rPr>
      </w:pPr>
      <w:r>
        <w:rPr>
          <w:rStyle w:val="11"/>
          <w:rFonts w:hint="eastAsia" w:ascii="黑体" w:hAnsi="黑体" w:eastAsia="黑体" w:cs="黑体"/>
          <w:b w:val="0"/>
          <w:bCs w:val="0"/>
          <w:color w:val="000000" w:themeColor="text1"/>
          <w:sz w:val="32"/>
          <w:szCs w:val="27"/>
          <w14:textFill>
            <w14:solidFill>
              <w14:schemeClr w14:val="tx1"/>
            </w14:solidFill>
          </w14:textFill>
        </w:rPr>
        <w:t>二、投资范围、资金范围</w:t>
      </w: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（一）投资范围。</w:t>
      </w:r>
      <w:r>
        <w:rPr>
          <w:rFonts w:hint="eastAsia" w:ascii="仿宋_GB2312" w:hAnsi="仿宋" w:eastAsia="仿宋_GB2312"/>
          <w:color w:val="000000" w:themeColor="text1"/>
          <w:sz w:val="32"/>
          <w:szCs w:val="32"/>
          <w14:textFill>
            <w14:solidFill>
              <w14:schemeClr w14:val="tx1"/>
            </w14:solidFill>
          </w14:textFill>
        </w:rPr>
        <w:t>聚焦</w:t>
      </w:r>
      <w:r>
        <w:rPr>
          <w:rFonts w:hint="eastAsia" w:ascii="仿宋_GB2312" w:eastAsia="仿宋_GB2312"/>
          <w:color w:val="000000" w:themeColor="text1"/>
          <w:sz w:val="32"/>
          <w:szCs w:val="32"/>
          <w14:textFill>
            <w14:solidFill>
              <w14:schemeClr w14:val="tx1"/>
            </w14:solidFill>
          </w14:textFill>
        </w:rPr>
        <w:t>全区都市工业经济、“十强”产业、“五型”经济、“四新”“四化”等领域，重点投向企业重大技术改造、科技成果转化、产业链关键环节提升、制造业与互联网融合、产业区域布局调整、基础设施建设、上市挂牌企业及上市后备资源库等项目;重点招商引资、招才引智项目; 创新创业载体、孵化器、总部基地、科创基地等项目。</w:t>
      </w:r>
    </w:p>
    <w:p>
      <w:pPr>
        <w:keepNext w:val="0"/>
        <w:keepLines w:val="0"/>
        <w:pageBreakBefore w:val="0"/>
        <w:widowControl w:val="0"/>
        <w:shd w:val="clear" w:color="auto" w:fill="FFFFFF"/>
        <w:kinsoku/>
        <w:wordWrap/>
        <w:overflowPunct/>
        <w:topLinePunct w:val="0"/>
        <w:autoSpaceDE/>
        <w:autoSpaceDN/>
        <w:bidi w:val="0"/>
        <w:adjustRightInd/>
        <w:snapToGrid/>
        <w:spacing w:line="610" w:lineRule="exact"/>
        <w:ind w:firstLine="640"/>
        <w:textAlignment w:val="auto"/>
        <w:rPr>
          <w:rFonts w:ascii="仿宋_GB2312" w:hAnsi="仿宋" w:eastAsia="仿宋_GB2312"/>
          <w:color w:val="000000" w:themeColor="text1"/>
          <w:spacing w:val="-6"/>
          <w:sz w:val="32"/>
          <w:szCs w:val="32"/>
          <w14:textFill>
            <w14:solidFill>
              <w14:schemeClr w14:val="tx1"/>
            </w14:solidFill>
          </w14:textFill>
        </w:rPr>
      </w:pPr>
      <w:r>
        <w:rPr>
          <w:rFonts w:hint="eastAsia" w:ascii="楷体_GB2312" w:hAnsi="楷体_GB2312" w:eastAsia="楷体_GB2312" w:cs="楷体_GB2312"/>
          <w:bCs/>
          <w:color w:val="000000" w:themeColor="text1"/>
          <w:kern w:val="0"/>
          <w:sz w:val="32"/>
          <w:szCs w:val="32"/>
          <w14:textFill>
            <w14:solidFill>
              <w14:schemeClr w14:val="tx1"/>
            </w14:solidFill>
          </w14:textFill>
        </w:rPr>
        <w:t>（二）资金范围。</w:t>
      </w:r>
      <w:r>
        <w:rPr>
          <w:rFonts w:hint="eastAsia" w:ascii="仿宋_GB2312" w:hAnsi="仿宋" w:eastAsia="仿宋_GB2312"/>
          <w:color w:val="000000" w:themeColor="text1"/>
          <w:spacing w:val="-6"/>
          <w:sz w:val="32"/>
          <w:szCs w:val="32"/>
          <w14:textFill>
            <w14:solidFill>
              <w14:schemeClr w14:val="tx1"/>
            </w14:solidFill>
          </w14:textFill>
        </w:rPr>
        <w:t>通过财政年度预算安排一定数量的资金用于股权投资；对企业的财政奖补资金，除特殊情况外，积极探索实施股权投资方式，变分散性无偿奖补为集约性资本金（股权）注入。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黑体" w:hAnsi="黑体" w:eastAsia="黑体" w:cs="黑体"/>
          <w:color w:val="000000" w:themeColor="text1"/>
          <w:sz w:val="32"/>
          <w:szCs w:val="27"/>
          <w14:textFill>
            <w14:solidFill>
              <w14:schemeClr w14:val="tx1"/>
            </w14:solidFill>
          </w14:textFill>
        </w:rPr>
      </w:pPr>
      <w:r>
        <w:rPr>
          <w:rStyle w:val="11"/>
          <w:rFonts w:hint="eastAsia" w:ascii="黑体" w:hAnsi="黑体" w:eastAsia="黑体" w:cs="黑体"/>
          <w:b w:val="0"/>
          <w:bCs w:val="0"/>
          <w:color w:val="000000" w:themeColor="text1"/>
          <w:sz w:val="32"/>
          <w:szCs w:val="27"/>
          <w14:textFill>
            <w14:solidFill>
              <w14:schemeClr w14:val="tx1"/>
            </w14:solidFill>
          </w14:textFill>
        </w:rPr>
        <w:t>三、工作程序</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（一）组织申报。</w:t>
      </w:r>
      <w:r>
        <w:rPr>
          <w:rFonts w:hint="eastAsia" w:ascii="仿宋_GB2312" w:hAnsi="仿宋" w:eastAsia="仿宋_GB2312" w:cstheme="minorBidi"/>
          <w:color w:val="000000" w:themeColor="text1"/>
          <w:kern w:val="2"/>
          <w:sz w:val="32"/>
          <w:szCs w:val="32"/>
          <w14:textFill>
            <w14:solidFill>
              <w14:schemeClr w14:val="tx1"/>
            </w14:solidFill>
          </w14:textFill>
        </w:rPr>
        <w:t>区级行业主管部门发布申报指南，明确实施股权投资项目的申报要求、支持方向和条件、筛选程序等。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olor w:val="000000" w:themeColor="text1"/>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（二）项目筛选。</w:t>
      </w:r>
      <w:r>
        <w:rPr>
          <w:rFonts w:hint="eastAsia" w:ascii="仿宋_GB2312" w:hAnsi="仿宋" w:eastAsia="仿宋_GB2312" w:cstheme="minorBidi"/>
          <w:color w:val="000000" w:themeColor="text1"/>
          <w:kern w:val="2"/>
          <w:sz w:val="32"/>
          <w:szCs w:val="32"/>
          <w14:textFill>
            <w14:solidFill>
              <w14:schemeClr w14:val="tx1"/>
            </w14:solidFill>
          </w14:textFill>
        </w:rPr>
        <w:t>街道、镇及园区向区级行业主管部门推荐企业（项目），由行业主管部门对申报实施股权投资的企业（项目）进行初步审核，筛选出候选企业（项目）。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（三）投资调查。</w:t>
      </w:r>
      <w:r>
        <w:rPr>
          <w:rFonts w:hint="eastAsia" w:ascii="仿宋_GB2312" w:hAnsi="仿宋" w:eastAsia="仿宋_GB2312" w:cstheme="minorBidi"/>
          <w:color w:val="000000" w:themeColor="text1"/>
          <w:kern w:val="2"/>
          <w:sz w:val="32"/>
          <w:szCs w:val="32"/>
          <w14:textFill>
            <w14:solidFill>
              <w14:schemeClr w14:val="tx1"/>
            </w14:solidFill>
          </w14:textFill>
        </w:rPr>
        <w:t>股权投资管理公司聘请财务审计等第三方中介机构，对候选企业（项目）进行实地考察、尽职调查、可行性论证分析等，与候选企业（项目）进行投资方案谈判，提出尽职调查报告及投资方案建议。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（四）下达项目计划。</w:t>
      </w:r>
      <w:r>
        <w:rPr>
          <w:rFonts w:hint="eastAsia" w:ascii="仿宋_GB2312" w:hAnsi="仿宋" w:eastAsia="仿宋_GB2312" w:cstheme="minorBidi"/>
          <w:color w:val="000000" w:themeColor="text1"/>
          <w:kern w:val="2"/>
          <w:sz w:val="32"/>
          <w:szCs w:val="32"/>
          <w14:textFill>
            <w14:solidFill>
              <w14:schemeClr w14:val="tx1"/>
            </w14:solidFill>
          </w14:textFill>
        </w:rPr>
        <w:t>区财政局会同行业主管部门审核尽职调查报告、投资方案建议等，经泰山区财政资金股权投资评审委员会（以下简称“股权投资评审委员会”）确定股权投资企业（项目）、投资额、股权占比等，并形成投资意见报区政府进行投资决策，根据投资决策下达投资计划。 </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（五）投资实施。</w:t>
      </w:r>
      <w:r>
        <w:rPr>
          <w:rFonts w:hint="eastAsia" w:ascii="仿宋_GB2312" w:hAnsi="仿宋" w:eastAsia="仿宋_GB2312" w:cstheme="minorBidi"/>
          <w:color w:val="000000" w:themeColor="text1"/>
          <w:kern w:val="2"/>
          <w:sz w:val="32"/>
          <w:szCs w:val="32"/>
          <w14:textFill>
            <w14:solidFill>
              <w14:schemeClr w14:val="tx1"/>
            </w14:solidFill>
          </w14:textFill>
        </w:rPr>
        <w:t>根据下达的项目投资计划，股权投资管理公司与被投资企业签订股权投资协议后，拨付股权投资资金，并实施股权投资投后监管等工作。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黑体" w:hAnsi="黑体" w:eastAsia="黑体" w:cs="黑体"/>
          <w:color w:val="000000" w:themeColor="text1"/>
          <w:sz w:val="32"/>
          <w:szCs w:val="27"/>
          <w14:textFill>
            <w14:solidFill>
              <w14:schemeClr w14:val="tx1"/>
            </w14:solidFill>
          </w14:textFill>
        </w:rPr>
      </w:pPr>
      <w:r>
        <w:rPr>
          <w:rStyle w:val="11"/>
          <w:rFonts w:hint="eastAsia" w:ascii="黑体" w:hAnsi="黑体" w:eastAsia="黑体" w:cs="黑体"/>
          <w:b w:val="0"/>
          <w:bCs w:val="0"/>
          <w:color w:val="000000" w:themeColor="text1"/>
          <w:sz w:val="32"/>
          <w:szCs w:val="27"/>
          <w14:textFill>
            <w14:solidFill>
              <w14:schemeClr w14:val="tx1"/>
            </w14:solidFill>
          </w14:textFill>
        </w:rPr>
        <w:t>四、职责分工</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区政府是股权投资资金的出资主体，依法享有股权投资资金所有者权益，授权区级行业主管部门和区财政局按照职责分工，开展股权投资工作。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区财政局是股权投资资金的安排和监管主体，负责财政资金的监督管理；具体履行政府出资人职责，对股权投资管理公司实施日常监管。</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区级行业主管部门是股权投资企业（项目）提报的责任主体和被投项目的监督主体，负责建立股权投资项目信息库、提报投资企业（项目），做好被投资企业（项目）风险监控、绩效评价。</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股权投资管理公司是财政资金股权投资管理实施主体，受区财政局委托持有股权，负责根据区财政局和行业主管部门的安排，组织股权投资项目尽职调查、投资意向谈判、投资方案制定以及投资实施和项目投后监管、收益上缴管理等工作。</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480"/>
        <w:textAlignment w:val="auto"/>
        <w:rPr>
          <w:rFonts w:ascii="黑体" w:hAnsi="黑体" w:eastAsia="黑体" w:cs="黑体"/>
          <w:color w:val="000000" w:themeColor="text1"/>
          <w:sz w:val="32"/>
          <w:szCs w:val="27"/>
          <w14:textFill>
            <w14:solidFill>
              <w14:schemeClr w14:val="tx1"/>
            </w14:solidFill>
          </w14:textFill>
        </w:rPr>
      </w:pPr>
      <w:r>
        <w:rPr>
          <w:rStyle w:val="11"/>
          <w:rFonts w:hint="eastAsia" w:ascii="黑体" w:hAnsi="黑体" w:eastAsia="黑体" w:cs="黑体"/>
          <w:b w:val="0"/>
          <w:bCs w:val="0"/>
          <w:color w:val="000000" w:themeColor="text1"/>
          <w:sz w:val="32"/>
          <w:szCs w:val="27"/>
          <w14:textFill>
            <w14:solidFill>
              <w14:schemeClr w14:val="tx1"/>
            </w14:solidFill>
          </w14:textFill>
        </w:rPr>
        <w:t>五、运作管理机制</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480"/>
        <w:textAlignment w:val="auto"/>
        <w:rPr>
          <w:rFonts w:ascii="仿宋_GB2312" w:hAnsi="仿宋" w:eastAsia="仿宋_GB2312"/>
          <w:color w:val="000000" w:themeColor="text1"/>
          <w:sz w:val="32"/>
          <w:szCs w:val="27"/>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（一）投资实施。</w:t>
      </w:r>
      <w:r>
        <w:rPr>
          <w:rFonts w:hint="eastAsia" w:ascii="仿宋_GB2312" w:hAnsi="仿宋" w:eastAsia="仿宋_GB2312" w:cstheme="minorBidi"/>
          <w:color w:val="000000" w:themeColor="text1"/>
          <w:kern w:val="2"/>
          <w:sz w:val="32"/>
          <w:szCs w:val="32"/>
          <w14:textFill>
            <w14:solidFill>
              <w14:schemeClr w14:val="tx1"/>
            </w14:solidFill>
          </w14:textFill>
        </w:rPr>
        <w:t>除区政府确定的中长期投资外，原则上股权投资的参股期限为3-5年。财政资金出资额占被投资企业的股比原则上不超过其总股本的25%，且不为第一大股东，与其他国有股东投资合并为第一大股东的除外。</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48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（二）股权退出。</w:t>
      </w:r>
      <w:r>
        <w:rPr>
          <w:rFonts w:hint="eastAsia" w:ascii="仿宋_GB2312" w:hAnsi="仿宋" w:eastAsia="仿宋_GB2312" w:cstheme="minorBidi"/>
          <w:color w:val="000000" w:themeColor="text1"/>
          <w:kern w:val="2"/>
          <w:sz w:val="32"/>
          <w:szCs w:val="32"/>
          <w14:textFill>
            <w14:solidFill>
              <w14:schemeClr w14:val="tx1"/>
            </w14:solidFill>
          </w14:textFill>
        </w:rPr>
        <w:t>管理公司在与拟投资企业签订股权投资合作协议时，必须明确规定政府股权退出的条件和方式。达到投资年限或约定投资条件(如一定的增值率、企业上市、未能实现预期盈利目标等)，通过股权转让、股票减持、其他股东回购以及清算等方式实施财政资金退出。股权投资管理公司认为需要提前退出时，可向区财政局和行业主管部门提出退出申请，经区股权投资评审委员会、区政府批复后实施。对被投资企业可视所属领域、发展阶段、项目提前退出时间以及项目风险等，在收益范围内给予让利，具体在股权投资协议中予以明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（三）费用支付。</w:t>
      </w:r>
      <w:r>
        <w:rPr>
          <w:rFonts w:hint="eastAsia" w:ascii="仿宋_GB2312" w:hAnsi="仿宋" w:eastAsia="仿宋_GB2312" w:cstheme="minorBidi"/>
          <w:color w:val="000000" w:themeColor="text1"/>
          <w:kern w:val="2"/>
          <w:sz w:val="32"/>
          <w:szCs w:val="32"/>
          <w14:textFill>
            <w14:solidFill>
              <w14:schemeClr w14:val="tx1"/>
            </w14:solidFill>
          </w14:textFill>
        </w:rPr>
        <w:t>区财政局按股权投资资金总额的规模和管理业绩，安排股权投资管理公司管理费用和业绩奖励。资金来源可从相应的专项资金中安排，也可从股权投资收益中安排。</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spacing w:val="-6"/>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（四）收益管理。</w:t>
      </w:r>
      <w:r>
        <w:rPr>
          <w:rFonts w:hint="eastAsia" w:ascii="仿宋_GB2312" w:hAnsi="仿宋" w:eastAsia="仿宋_GB2312" w:cstheme="minorBidi"/>
          <w:color w:val="000000" w:themeColor="text1"/>
          <w:spacing w:val="-6"/>
          <w:kern w:val="2"/>
          <w:sz w:val="32"/>
          <w:szCs w:val="32"/>
          <w14:textFill>
            <w14:solidFill>
              <w14:schemeClr w14:val="tx1"/>
            </w14:solidFill>
          </w14:textFill>
        </w:rPr>
        <w:t>财政股权投资资金形成的收益和退出时的股本，除支付一定的管理费用和业绩奖励外，统筹用于股权再投资。</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（五）投后监管。</w:t>
      </w:r>
      <w:r>
        <w:rPr>
          <w:rFonts w:hint="eastAsia" w:ascii="仿宋_GB2312" w:hAnsi="仿宋" w:eastAsia="仿宋_GB2312" w:cstheme="minorBidi"/>
          <w:color w:val="000000" w:themeColor="text1"/>
          <w:kern w:val="2"/>
          <w:sz w:val="32"/>
          <w:szCs w:val="32"/>
          <w14:textFill>
            <w14:solidFill>
              <w14:schemeClr w14:val="tx1"/>
            </w14:solidFill>
          </w14:textFill>
        </w:rPr>
        <w:t>区级行业主管部门对股权投资企业（项目）进行投后监管。其中，投资初期考核侧重于投资情况、管理能力、管理机制等，投资中后期考核侧重于财政资金引导效果、流转效率、盈利水平（营业收入、利润、税收）等。</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36" w:firstLineChars="199"/>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楷体_GB2312" w:hAnsi="楷体_GB2312" w:eastAsia="楷体_GB2312" w:cs="楷体_GB2312"/>
          <w:bCs/>
          <w:color w:val="000000" w:themeColor="text1"/>
          <w:sz w:val="32"/>
          <w:szCs w:val="32"/>
          <w14:textFill>
            <w14:solidFill>
              <w14:schemeClr w14:val="tx1"/>
            </w14:solidFill>
          </w14:textFill>
        </w:rPr>
        <w:t>（六）建立风险防控和投资止损机制。</w:t>
      </w:r>
      <w:r>
        <w:rPr>
          <w:rFonts w:hint="eastAsia" w:ascii="仿宋_GB2312" w:hAnsi="仿宋" w:eastAsia="仿宋_GB2312" w:cstheme="minorBidi"/>
          <w:color w:val="000000" w:themeColor="text1"/>
          <w:kern w:val="2"/>
          <w:sz w:val="32"/>
          <w:szCs w:val="32"/>
          <w14:textFill>
            <w14:solidFill>
              <w14:schemeClr w14:val="tx1"/>
            </w14:solidFill>
          </w14:textFill>
        </w:rPr>
        <w:t>遵循投资规律，把握政策界限，坚持实事求是，针对不同行业、不同生命周期的投资项目，研究容错容损具体办法，进一步明确容错容损的责任主体、情形及程序，对因不可预测市场波动等客观因素所导致的投资损失，免予追究相关单位和个人责任。建立风险防控和投资止损机制，出现重大风险或经营变化等事项时，及时提出股权处置建议。</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640" w:firstLineChars="200"/>
        <w:textAlignment w:val="auto"/>
        <w:rPr>
          <w:rFonts w:ascii="黑体" w:hAnsi="黑体" w:eastAsia="黑体" w:cs="黑体"/>
          <w:color w:val="000000" w:themeColor="text1"/>
          <w:sz w:val="32"/>
          <w:szCs w:val="27"/>
          <w14:textFill>
            <w14:solidFill>
              <w14:schemeClr w14:val="tx1"/>
            </w14:solidFill>
          </w14:textFill>
        </w:rPr>
      </w:pPr>
      <w:r>
        <w:rPr>
          <w:rStyle w:val="11"/>
          <w:rFonts w:hint="eastAsia" w:ascii="黑体" w:hAnsi="黑体" w:eastAsia="黑体" w:cs="黑体"/>
          <w:b w:val="0"/>
          <w:bCs w:val="0"/>
          <w:color w:val="000000" w:themeColor="text1"/>
          <w:sz w:val="32"/>
          <w:szCs w:val="27"/>
          <w14:textFill>
            <w14:solidFill>
              <w14:schemeClr w14:val="tx1"/>
            </w14:solidFill>
          </w14:textFill>
        </w:rPr>
        <w:t>六、工作要求</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10" w:lineRule="exact"/>
        <w:ind w:firstLine="540"/>
        <w:textAlignment w:val="auto"/>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各有关部门和单位要做好财政股权投资与政府产业引导基金等方面的衔接配合，充分发挥政策和资金合力。对区政府出台的支持产业发展的奖励、贴息、无偿补助等财政政策，可根据具体情况适当调整扶持方式，实施财政资金股权投资。区财政局要细化措施，加强监督管理。各行业主管部门要进一步强化责任担当，创新制度供给，结合管理需要和支出事项，合理调整产业扶持政策，体现政府政策导向。</w:t>
      </w:r>
    </w:p>
    <w:p>
      <w:pPr>
        <w:pStyle w:val="8"/>
        <w:widowControl w:val="0"/>
        <w:spacing w:before="0" w:beforeAutospacing="0" w:after="0" w:afterAutospacing="0" w:line="600" w:lineRule="exact"/>
        <w:ind w:firstLine="540"/>
        <w:rPr>
          <w:rFonts w:ascii="仿宋_GB2312" w:hAnsi="仿宋" w:eastAsia="仿宋_GB2312" w:cstheme="minorBidi"/>
          <w:color w:val="000000" w:themeColor="text1"/>
          <w:kern w:val="2"/>
          <w:sz w:val="32"/>
          <w:szCs w:val="32"/>
          <w14:textFill>
            <w14:solidFill>
              <w14:schemeClr w14:val="tx1"/>
            </w14:solidFill>
          </w14:textFill>
        </w:rPr>
      </w:pPr>
    </w:p>
    <w:p>
      <w:pPr>
        <w:pStyle w:val="8"/>
        <w:widowControl w:val="0"/>
        <w:spacing w:before="0" w:beforeAutospacing="0" w:after="0" w:afterAutospacing="0" w:line="600" w:lineRule="exact"/>
        <w:ind w:firstLine="540"/>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附件：泰山区财政资金股权投资评审委员会成员名单</w:t>
      </w:r>
    </w:p>
    <w:p>
      <w:pPr>
        <w:pStyle w:val="8"/>
        <w:spacing w:before="0" w:beforeAutospacing="0" w:after="0" w:afterAutospacing="0" w:line="600" w:lineRule="exact"/>
        <w:ind w:firstLine="5817" w:firstLineChars="1818"/>
        <w:rPr>
          <w:rFonts w:ascii="仿宋_GB2312" w:hAnsi="仿宋" w:eastAsia="仿宋_GB2312" w:cstheme="minorBidi"/>
          <w:color w:val="000000" w:themeColor="text1"/>
          <w:kern w:val="2"/>
          <w:sz w:val="32"/>
          <w:szCs w:val="32"/>
          <w14:textFill>
            <w14:solidFill>
              <w14:schemeClr w14:val="tx1"/>
            </w14:solidFill>
          </w14:textFill>
        </w:rPr>
      </w:pPr>
    </w:p>
    <w:p>
      <w:pPr>
        <w:pStyle w:val="8"/>
        <w:spacing w:before="0" w:beforeAutospacing="0" w:after="0" w:afterAutospacing="0" w:line="600" w:lineRule="exact"/>
        <w:ind w:firstLine="5817" w:firstLineChars="1818"/>
        <w:rPr>
          <w:rFonts w:ascii="仿宋_GB2312" w:hAnsi="仿宋" w:eastAsia="仿宋_GB2312" w:cstheme="minorBidi"/>
          <w:color w:val="000000" w:themeColor="text1"/>
          <w:kern w:val="2"/>
          <w:sz w:val="32"/>
          <w:szCs w:val="32"/>
          <w14:textFill>
            <w14:solidFill>
              <w14:schemeClr w14:val="tx1"/>
            </w14:solidFill>
          </w14:textFill>
        </w:rPr>
      </w:pPr>
    </w:p>
    <w:p>
      <w:pPr>
        <w:pStyle w:val="8"/>
        <w:spacing w:before="0" w:beforeAutospacing="0" w:after="0" w:afterAutospacing="0" w:line="600" w:lineRule="exact"/>
        <w:ind w:firstLine="5817" w:firstLineChars="1818"/>
        <w:rPr>
          <w:rFonts w:ascii="仿宋_GB2312" w:hAnsi="仿宋" w:eastAsia="仿宋_GB2312" w:cstheme="minorBidi"/>
          <w:color w:val="000000" w:themeColor="text1"/>
          <w:kern w:val="2"/>
          <w:sz w:val="32"/>
          <w:szCs w:val="32"/>
          <w14:textFill>
            <w14:solidFill>
              <w14:schemeClr w14:val="tx1"/>
            </w14:solidFill>
          </w14:textFill>
        </w:rPr>
      </w:pPr>
    </w:p>
    <w:p>
      <w:pPr>
        <w:pStyle w:val="8"/>
        <w:spacing w:before="0" w:beforeAutospacing="0" w:after="0" w:afterAutospacing="0" w:line="600" w:lineRule="exact"/>
        <w:ind w:firstLine="4480" w:firstLineChars="1400"/>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泰安市泰山区人民政府办公室</w:t>
      </w:r>
    </w:p>
    <w:p>
      <w:pPr>
        <w:pStyle w:val="8"/>
        <w:spacing w:before="0" w:beforeAutospacing="0" w:after="0" w:afterAutospacing="0" w:line="600" w:lineRule="exact"/>
        <w:ind w:firstLine="540"/>
        <w:rPr>
          <w:rFonts w:ascii="仿宋_GB2312" w:hAnsi="仿宋" w:eastAsia="仿宋_GB2312" w:cstheme="minorBidi"/>
          <w:color w:val="000000" w:themeColor="text1"/>
          <w:kern w:val="2"/>
          <w:sz w:val="32"/>
          <w:szCs w:val="32"/>
          <w14:textFill>
            <w14:solidFill>
              <w14:schemeClr w14:val="tx1"/>
            </w14:solidFill>
          </w14:textFill>
        </w:rPr>
      </w:pPr>
      <w:r>
        <w:rPr>
          <w:rFonts w:hint="eastAsia" w:ascii="仿宋_GB2312" w:hAnsi="仿宋" w:eastAsia="仿宋_GB2312" w:cstheme="minorBidi"/>
          <w:color w:val="000000" w:themeColor="text1"/>
          <w:kern w:val="2"/>
          <w:sz w:val="32"/>
          <w:szCs w:val="32"/>
          <w14:textFill>
            <w14:solidFill>
              <w14:schemeClr w14:val="tx1"/>
            </w14:solidFill>
          </w14:textFill>
        </w:rPr>
        <w:t xml:space="preserve">                              2022</w:t>
      </w:r>
      <w:r>
        <w:rPr>
          <w:rFonts w:ascii="仿宋_GB2312" w:hAnsi="仿宋" w:eastAsia="仿宋_GB2312" w:cstheme="minorBidi"/>
          <w:color w:val="000000" w:themeColor="text1"/>
          <w:kern w:val="2"/>
          <w:sz w:val="32"/>
          <w:szCs w:val="32"/>
          <w14:textFill>
            <w14:solidFill>
              <w14:schemeClr w14:val="tx1"/>
            </w14:solidFill>
          </w14:textFill>
        </w:rPr>
        <w:t>年</w:t>
      </w:r>
      <w:r>
        <w:rPr>
          <w:rFonts w:hint="eastAsia" w:ascii="仿宋_GB2312" w:hAnsi="仿宋" w:eastAsia="仿宋_GB2312" w:cstheme="minorBidi"/>
          <w:color w:val="000000" w:themeColor="text1"/>
          <w:kern w:val="2"/>
          <w:sz w:val="32"/>
          <w:szCs w:val="32"/>
          <w14:textFill>
            <w14:solidFill>
              <w14:schemeClr w14:val="tx1"/>
            </w14:solidFill>
          </w14:textFill>
        </w:rPr>
        <w:t>5</w:t>
      </w:r>
      <w:r>
        <w:rPr>
          <w:rFonts w:ascii="仿宋_GB2312" w:hAnsi="仿宋" w:eastAsia="仿宋_GB2312" w:cstheme="minorBidi"/>
          <w:color w:val="000000" w:themeColor="text1"/>
          <w:kern w:val="2"/>
          <w:sz w:val="32"/>
          <w:szCs w:val="32"/>
          <w14:textFill>
            <w14:solidFill>
              <w14:schemeClr w14:val="tx1"/>
            </w14:solidFill>
          </w14:textFill>
        </w:rPr>
        <w:t>月</w:t>
      </w:r>
      <w:r>
        <w:rPr>
          <w:rFonts w:hint="eastAsia" w:ascii="仿宋_GB2312" w:hAnsi="仿宋" w:eastAsia="仿宋_GB2312" w:cstheme="minorBidi"/>
          <w:color w:val="000000" w:themeColor="text1"/>
          <w:kern w:val="2"/>
          <w:sz w:val="32"/>
          <w:szCs w:val="32"/>
          <w:lang w:val="en-US" w:eastAsia="zh-CN"/>
          <w14:textFill>
            <w14:solidFill>
              <w14:schemeClr w14:val="tx1"/>
            </w14:solidFill>
          </w14:textFill>
        </w:rPr>
        <w:t>18</w:t>
      </w:r>
      <w:r>
        <w:rPr>
          <w:rFonts w:ascii="仿宋_GB2312" w:hAnsi="仿宋" w:eastAsia="仿宋_GB2312" w:cstheme="minorBidi"/>
          <w:color w:val="000000" w:themeColor="text1"/>
          <w:kern w:val="2"/>
          <w:sz w:val="32"/>
          <w:szCs w:val="32"/>
          <w14:textFill>
            <w14:solidFill>
              <w14:schemeClr w14:val="tx1"/>
            </w14:solidFill>
          </w14:textFill>
        </w:rPr>
        <w:t>日</w:t>
      </w:r>
    </w:p>
    <w:p>
      <w:pPr>
        <w:pStyle w:val="8"/>
        <w:spacing w:before="0" w:beforeAutospacing="0" w:after="0" w:afterAutospacing="0" w:line="600" w:lineRule="exac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center"/>
        <w:rPr>
          <w:rFonts w:asciiTheme="majorEastAsia" w:hAnsiTheme="majorEastAsia" w:eastAsiaTheme="majorEastAsia"/>
          <w:b/>
          <w:color w:val="000000" w:themeColor="text1"/>
          <w:sz w:val="44"/>
          <w:szCs w:val="32"/>
          <w14:textFill>
            <w14:solidFill>
              <w14:schemeClr w14:val="tx1"/>
            </w14:solidFill>
          </w14:textFill>
        </w:rPr>
      </w:pPr>
    </w:p>
    <w:p>
      <w:pPr>
        <w:pStyle w:val="8"/>
        <w:spacing w:before="0" w:beforeAutospacing="0" w:after="0" w:afterAutospacing="0" w:line="450" w:lineRule="atLeast"/>
        <w:jc w:val="both"/>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附件</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auto"/>
        <w:rPr>
          <w:rFonts w:asciiTheme="majorEastAsia" w:hAnsiTheme="majorEastAsia" w:eastAsiaTheme="majorEastAsia"/>
          <w:b/>
          <w:color w:val="000000" w:themeColor="text1"/>
          <w:sz w:val="44"/>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经典粗宋简" w:eastAsia="方正小标宋简体" w:cs="经典粗宋简"/>
          <w:bCs/>
          <w:color w:val="000000" w:themeColor="text1"/>
          <w:sz w:val="44"/>
          <w:szCs w:val="32"/>
          <w14:textFill>
            <w14:solidFill>
              <w14:schemeClr w14:val="tx1"/>
            </w14:solidFill>
          </w14:textFill>
        </w:rPr>
      </w:pPr>
      <w:r>
        <w:rPr>
          <w:rFonts w:hint="eastAsia" w:ascii="方正小标宋简体" w:hAnsi="经典粗宋简" w:eastAsia="方正小标宋简体" w:cs="经典粗宋简"/>
          <w:bCs/>
          <w:color w:val="000000" w:themeColor="text1"/>
          <w:sz w:val="44"/>
          <w:szCs w:val="32"/>
          <w14:textFill>
            <w14:solidFill>
              <w14:schemeClr w14:val="tx1"/>
            </w14:solidFill>
          </w14:textFill>
        </w:rPr>
        <w:t>泰山区财政资金股权投资评审委员会</w:t>
      </w:r>
    </w:p>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640" w:lineRule="exact"/>
        <w:jc w:val="center"/>
        <w:textAlignment w:val="auto"/>
        <w:rPr>
          <w:rFonts w:hint="eastAsia" w:ascii="方正小标宋简体" w:hAnsi="经典粗宋简" w:eastAsia="方正小标宋简体" w:cs="经典粗宋简"/>
          <w:bCs/>
          <w:color w:val="000000" w:themeColor="text1"/>
          <w:sz w:val="44"/>
          <w:szCs w:val="32"/>
          <w14:textFill>
            <w14:solidFill>
              <w14:schemeClr w14:val="tx1"/>
            </w14:solidFill>
          </w14:textFill>
        </w:rPr>
      </w:pPr>
      <w:r>
        <w:rPr>
          <w:rFonts w:hint="eastAsia" w:ascii="方正小标宋简体" w:hAnsi="经典粗宋简" w:eastAsia="方正小标宋简体" w:cs="经典粗宋简"/>
          <w:bCs/>
          <w:color w:val="000000" w:themeColor="text1"/>
          <w:sz w:val="44"/>
          <w:szCs w:val="32"/>
          <w14:textFill>
            <w14:solidFill>
              <w14:schemeClr w14:val="tx1"/>
            </w14:solidFill>
          </w14:textFill>
        </w:rPr>
        <w:t>成  员  名  单</w:t>
      </w:r>
    </w:p>
    <w:p>
      <w:pPr>
        <w:keepNext w:val="0"/>
        <w:keepLines w:val="0"/>
        <w:pageBreakBefore w:val="0"/>
        <w:widowControl w:val="0"/>
        <w:kinsoku/>
        <w:wordWrap/>
        <w:overflowPunct/>
        <w:topLinePunct w:val="0"/>
        <w:autoSpaceDE/>
        <w:autoSpaceDN/>
        <w:bidi w:val="0"/>
        <w:adjustRightInd/>
        <w:snapToGrid/>
        <w:spacing w:line="300" w:lineRule="exact"/>
        <w:ind w:left="1918" w:leftChars="304" w:hanging="1280" w:hangingChars="400"/>
        <w:textAlignment w:val="auto"/>
        <w:rPr>
          <w:rFonts w:ascii="仿宋_GB2312" w:eastAsia="仿宋_GB2312"/>
          <w:color w:val="000000" w:themeColor="text1"/>
          <w:sz w:val="32"/>
          <w:szCs w:val="32"/>
          <w14:textFill>
            <w14:solidFill>
              <w14:schemeClr w14:val="tx1"/>
            </w14:solidFill>
          </w14:textFill>
        </w:rPr>
      </w:pPr>
    </w:p>
    <w:p>
      <w:pPr>
        <w:spacing w:line="520" w:lineRule="exact"/>
        <w:ind w:firstLine="640" w:firstLineChars="200"/>
        <w:rPr>
          <w:rFonts w:ascii="仿宋_GB2312" w:eastAsia="仿宋_GB2312"/>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主  任：</w:t>
      </w:r>
      <w:r>
        <w:rPr>
          <w:rFonts w:hint="eastAsia" w:ascii="仿宋_GB2312" w:eastAsia="仿宋_GB2312"/>
          <w:color w:val="000000" w:themeColor="text1"/>
          <w:spacing w:val="0"/>
          <w:sz w:val="32"/>
          <w:szCs w:val="32"/>
          <w14:textFill>
            <w14:solidFill>
              <w14:schemeClr w14:val="tx1"/>
            </w14:solidFill>
          </w14:textFill>
        </w:rPr>
        <w:t xml:space="preserve">朱光胜  </w:t>
      </w:r>
    </w:p>
    <w:p>
      <w:pPr>
        <w:spacing w:line="520" w:lineRule="exact"/>
        <w:ind w:firstLine="640" w:firstLineChars="200"/>
        <w:rPr>
          <w:rFonts w:ascii="仿宋_GB2312" w:eastAsia="仿宋_GB2312"/>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副主任：</w:t>
      </w:r>
      <w:r>
        <w:rPr>
          <w:rFonts w:hint="eastAsia" w:ascii="仿宋_GB2312" w:eastAsia="仿宋_GB2312"/>
          <w:color w:val="000000" w:themeColor="text1"/>
          <w:spacing w:val="0"/>
          <w:sz w:val="32"/>
          <w:szCs w:val="32"/>
          <w14:textFill>
            <w14:solidFill>
              <w14:schemeClr w14:val="tx1"/>
            </w14:solidFill>
          </w14:textFill>
        </w:rPr>
        <w:t xml:space="preserve">孙大伟  区政府办公室 </w:t>
      </w:r>
    </w:p>
    <w:p>
      <w:pPr>
        <w:spacing w:line="520" w:lineRule="exact"/>
        <w:ind w:firstLine="1920" w:firstLineChars="600"/>
        <w:rPr>
          <w:rFonts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武永明  区财政局</w:t>
      </w:r>
    </w:p>
    <w:p>
      <w:pPr>
        <w:spacing w:line="520" w:lineRule="exact"/>
        <w:ind w:firstLine="640" w:firstLineChars="200"/>
        <w:rPr>
          <w:rFonts w:ascii="仿宋_GB2312" w:eastAsia="仿宋_GB2312"/>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成  员：</w:t>
      </w:r>
      <w:r>
        <w:rPr>
          <w:rFonts w:hint="eastAsia" w:ascii="仿宋_GB2312" w:hAnsi="Calibri" w:eastAsia="仿宋_GB2312" w:cs="Times New Roman"/>
          <w:color w:val="000000" w:themeColor="text1"/>
          <w:spacing w:val="0"/>
          <w:sz w:val="32"/>
          <w:szCs w:val="32"/>
          <w14:textFill>
            <w14:solidFill>
              <w14:schemeClr w14:val="tx1"/>
            </w14:solidFill>
          </w14:textFill>
        </w:rPr>
        <w:t>杨希强  区发改局</w:t>
      </w:r>
    </w:p>
    <w:p>
      <w:pPr>
        <w:spacing w:line="520" w:lineRule="exact"/>
        <w:ind w:left="1915" w:leftChars="912"/>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焦承卫  区教体局</w:t>
      </w:r>
    </w:p>
    <w:p>
      <w:pPr>
        <w:spacing w:line="520" w:lineRule="exact"/>
        <w:ind w:firstLine="1920" w:firstLineChars="600"/>
        <w:rPr>
          <w:rFonts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武甲勇  区科技局</w:t>
      </w:r>
    </w:p>
    <w:p>
      <w:pPr>
        <w:spacing w:line="520" w:lineRule="exact"/>
        <w:ind w:left="1277" w:leftChars="608" w:firstLine="640" w:firstLineChars="200"/>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刘  辉  区工信局</w:t>
      </w:r>
    </w:p>
    <w:p>
      <w:pPr>
        <w:spacing w:line="520" w:lineRule="exact"/>
        <w:ind w:firstLine="1920" w:firstLineChars="600"/>
        <w:rPr>
          <w:rFonts w:ascii="仿宋_GB2312" w:hAnsi="仿宋" w:eastAsia="仿宋_GB2312" w:cs="Times New Roman"/>
          <w:color w:val="000000" w:themeColor="text1"/>
          <w:spacing w:val="0"/>
          <w:sz w:val="32"/>
          <w:szCs w:val="32"/>
          <w14:textFill>
            <w14:solidFill>
              <w14:schemeClr w14:val="tx1"/>
            </w14:solidFill>
          </w14:textFill>
        </w:rPr>
      </w:pPr>
      <w:r>
        <w:rPr>
          <w:rFonts w:hint="eastAsia" w:ascii="仿宋_GB2312" w:hAnsi="仿宋" w:eastAsia="仿宋_GB2312" w:cs="Times New Roman"/>
          <w:color w:val="000000" w:themeColor="text1"/>
          <w:spacing w:val="0"/>
          <w:sz w:val="32"/>
          <w:szCs w:val="32"/>
          <w14:textFill>
            <w14:solidFill>
              <w14:schemeClr w14:val="tx1"/>
            </w14:solidFill>
          </w14:textFill>
        </w:rPr>
        <w:t>张  振  区司法局</w:t>
      </w:r>
    </w:p>
    <w:p>
      <w:pPr>
        <w:spacing w:line="520" w:lineRule="exact"/>
        <w:ind w:firstLine="1920" w:firstLineChars="600"/>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王  军  区财政局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李爱端</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区住建局</w:t>
      </w:r>
    </w:p>
    <w:p>
      <w:pPr>
        <w:spacing w:line="520" w:lineRule="exact"/>
        <w:ind w:left="1865" w:leftChars="888"/>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王仲成</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区交运局</w:t>
      </w:r>
    </w:p>
    <w:p>
      <w:pPr>
        <w:spacing w:line="520" w:lineRule="exact"/>
        <w:ind w:left="2505" w:leftChars="888" w:hanging="640" w:hangingChars="200"/>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米  静</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区农业农村局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王国然</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区商务局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钟建军</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区文旅局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张铭燕</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区卫健局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杨平雷</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区审计局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王  弘</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区国资局</w:t>
      </w:r>
    </w:p>
    <w:p>
      <w:pPr>
        <w:spacing w:line="520" w:lineRule="exact"/>
        <w:ind w:left="1865" w:leftChars="888"/>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陈广红</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区行政审批服务局</w:t>
      </w:r>
    </w:p>
    <w:p>
      <w:pPr>
        <w:spacing w:line="520" w:lineRule="exact"/>
        <w:ind w:left="2505" w:leftChars="888" w:hanging="640" w:hangingChars="200"/>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李深军</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区市场监管局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刘  琦</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区统计局</w:t>
      </w:r>
    </w:p>
    <w:p>
      <w:pPr>
        <w:spacing w:line="520" w:lineRule="exact"/>
        <w:ind w:left="2665" w:leftChars="888" w:hanging="800" w:hangingChars="250"/>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尹晓宇</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区金融发展服务中心</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孟  磊</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eastAsia="仿宋_GB2312"/>
          <w:color w:val="000000" w:themeColor="text1"/>
          <w:spacing w:val="0"/>
          <w:sz w:val="32"/>
          <w:szCs w:val="32"/>
          <w14:textFill>
            <w14:solidFill>
              <w14:schemeClr w14:val="tx1"/>
            </w14:solidFill>
          </w14:textFill>
        </w:rPr>
        <w:t>区税务局</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张  丽</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财源街道</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马  骏</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岱庙街道</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明义敬</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泰前街道</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张  永</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上高街道</w:t>
      </w:r>
    </w:p>
    <w:p>
      <w:pPr>
        <w:spacing w:line="520" w:lineRule="exact"/>
        <w:ind w:left="1865" w:leftChars="888"/>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李开鹏</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徐家楼街道</w:t>
      </w:r>
    </w:p>
    <w:p>
      <w:pPr>
        <w:spacing w:line="520" w:lineRule="exact"/>
        <w:ind w:left="1865" w:leftChars="888"/>
        <w:rPr>
          <w:rFonts w:ascii="仿宋_GB2312" w:hAnsi="Calibri" w:eastAsia="仿宋_GB2312" w:cs="Times New Roman"/>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丁  力</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省庄镇</w:t>
      </w:r>
    </w:p>
    <w:p>
      <w:pPr>
        <w:spacing w:line="520" w:lineRule="exact"/>
        <w:ind w:left="1865" w:leftChars="888"/>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张灿宇</w:t>
      </w:r>
      <w:r>
        <w:rPr>
          <w:rFonts w:hint="eastAsia" w:ascii="仿宋_GB2312" w:hAnsi="Calibri" w:eastAsia="仿宋_GB2312" w:cs="Times New Roman"/>
          <w:color w:val="000000" w:themeColor="text1"/>
          <w:spacing w:val="6"/>
          <w:sz w:val="32"/>
          <w:szCs w:val="32"/>
          <w14:textFill>
            <w14:solidFill>
              <w14:schemeClr w14:val="tx1"/>
            </w14:solidFill>
          </w14:textFill>
        </w:rPr>
        <w:t xml:space="preserve">  </w:t>
      </w:r>
      <w:r>
        <w:rPr>
          <w:rFonts w:hint="eastAsia" w:ascii="仿宋_GB2312" w:hAnsi="Calibri" w:eastAsia="仿宋_GB2312" w:cs="Times New Roman"/>
          <w:color w:val="000000" w:themeColor="text1"/>
          <w:spacing w:val="0"/>
          <w:sz w:val="32"/>
          <w:szCs w:val="32"/>
          <w14:textFill>
            <w14:solidFill>
              <w14:schemeClr w14:val="tx1"/>
            </w14:solidFill>
          </w14:textFill>
        </w:rPr>
        <w:t>邱家店</w:t>
      </w:r>
      <w:r>
        <w:rPr>
          <w:rFonts w:hint="eastAsia" w:ascii="仿宋_GB2312" w:eastAsia="仿宋_GB2312"/>
          <w:color w:val="000000" w:themeColor="text1"/>
          <w:spacing w:val="0"/>
          <w:sz w:val="32"/>
          <w:szCs w:val="32"/>
          <w14:textFill>
            <w14:solidFill>
              <w14:schemeClr w14:val="tx1"/>
            </w14:solidFill>
          </w14:textFill>
        </w:rPr>
        <w:t>镇</w:t>
      </w:r>
    </w:p>
    <w:p>
      <w:pPr>
        <w:spacing w:line="520" w:lineRule="exact"/>
        <w:ind w:left="0" w:leftChars="0" w:firstLine="1859" w:firstLineChars="581"/>
        <w:rPr>
          <w:rFonts w:ascii="仿宋_GB2312" w:eastAsia="仿宋_GB2312"/>
          <w:color w:val="000000" w:themeColor="text1"/>
          <w:spacing w:val="0"/>
          <w:sz w:val="32"/>
          <w:szCs w:val="32"/>
          <w14:textFill>
            <w14:solidFill>
              <w14:schemeClr w14:val="tx1"/>
            </w14:solidFill>
          </w14:textFill>
        </w:rPr>
      </w:pPr>
      <w:r>
        <w:rPr>
          <w:rFonts w:hint="eastAsia" w:ascii="仿宋_GB2312" w:eastAsia="仿宋_GB2312"/>
          <w:color w:val="000000" w:themeColor="text1"/>
          <w:spacing w:val="0"/>
          <w:sz w:val="32"/>
          <w:szCs w:val="32"/>
          <w14:textFill>
            <w14:solidFill>
              <w14:schemeClr w14:val="tx1"/>
            </w14:solidFill>
          </w14:textFill>
        </w:rPr>
        <w:t>王  博</w:t>
      </w:r>
      <w:r>
        <w:rPr>
          <w:rFonts w:hint="eastAsia" w:ascii="仿宋_GB2312" w:hAnsi="Calibri" w:eastAsia="仿宋_GB2312" w:cs="Times New Roman"/>
          <w:color w:val="000000" w:themeColor="text1"/>
          <w:spacing w:val="0"/>
          <w:sz w:val="32"/>
          <w:szCs w:val="32"/>
          <w14:textFill>
            <w14:solidFill>
              <w14:schemeClr w14:val="tx1"/>
            </w14:solidFill>
          </w14:textFill>
        </w:rPr>
        <w:t xml:space="preserve">  </w:t>
      </w:r>
      <w:r>
        <w:rPr>
          <w:rFonts w:hint="eastAsia" w:ascii="仿宋_GB2312" w:eastAsia="仿宋_GB2312"/>
          <w:color w:val="000000" w:themeColor="text1"/>
          <w:spacing w:val="0"/>
          <w:sz w:val="32"/>
          <w:szCs w:val="32"/>
          <w14:textFill>
            <w14:solidFill>
              <w14:schemeClr w14:val="tx1"/>
            </w14:solidFill>
          </w14:textFill>
        </w:rPr>
        <w:t>泰山经济开发区</w:t>
      </w:r>
    </w:p>
    <w:p>
      <w:pPr>
        <w:spacing w:line="520" w:lineRule="exact"/>
        <w:ind w:left="0" w:leftChars="0" w:firstLine="1859" w:firstLineChars="581"/>
        <w:rPr>
          <w:rFonts w:ascii="仿宋_GB2312" w:eastAsia="仿宋_GB2312"/>
          <w:color w:val="000000" w:themeColor="text1"/>
          <w:spacing w:val="0"/>
          <w:sz w:val="32"/>
          <w:szCs w:val="32"/>
          <w14:textFill>
            <w14:solidFill>
              <w14:schemeClr w14:val="tx1"/>
            </w14:solidFill>
          </w14:textFill>
        </w:rPr>
      </w:pPr>
      <w:r>
        <w:rPr>
          <w:rFonts w:hint="eastAsia" w:ascii="仿宋_GB2312" w:hAnsi="Calibri" w:eastAsia="仿宋_GB2312" w:cs="Times New Roman"/>
          <w:color w:val="000000" w:themeColor="text1"/>
          <w:spacing w:val="0"/>
          <w:sz w:val="32"/>
          <w:szCs w:val="32"/>
          <w14:textFill>
            <w14:solidFill>
              <w14:schemeClr w14:val="tx1"/>
            </w14:solidFill>
          </w14:textFill>
        </w:rPr>
        <w:t>宋传勇  泰安农高区管委会</w:t>
      </w:r>
    </w:p>
    <w:p>
      <w:pPr>
        <w:spacing w:line="52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r>
        <w:rPr>
          <w:rFonts w:hint="eastAsia" w:ascii="仿宋_GB2312" w:hAnsi="Calibri" w:eastAsia="仿宋_GB2312" w:cs="Times New Roman"/>
          <w:color w:val="000000" w:themeColor="text1"/>
          <w:sz w:val="32"/>
          <w:szCs w:val="32"/>
          <w14:textFill>
            <w14:solidFill>
              <w14:schemeClr w14:val="tx1"/>
            </w14:solidFill>
          </w14:textFill>
        </w:rPr>
        <w:t>区财政资金股权投资评审委员会下设办公室，办公室设在区财政局，负责评审委员会日常工作，各成员单位根据项目相关情况参与评审。</w:t>
      </w:r>
    </w:p>
    <w:p>
      <w:pPr>
        <w:spacing w:line="52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p>
    <w:p>
      <w:pPr>
        <w:spacing w:line="52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p>
    <w:p>
      <w:pPr>
        <w:spacing w:line="52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Calibri"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00" w:lineRule="exact"/>
        <w:textAlignment w:val="auto"/>
      </w:pPr>
    </w:p>
    <w:p>
      <w:pPr>
        <w:pStyle w:val="2"/>
      </w:pPr>
    </w:p>
    <w:p/>
    <w:p>
      <w:pPr>
        <w:pStyle w:val="2"/>
      </w:pPr>
    </w:p>
    <w:p>
      <w:pPr>
        <w:spacing w:line="520" w:lineRule="exact"/>
        <w:ind w:firstLine="640" w:firstLineChars="200"/>
        <w:rPr>
          <w:rFonts w:ascii="仿宋_GB2312" w:hAnsi="Calibri" w:eastAsia="仿宋_GB2312" w:cs="Times New Roman"/>
          <w:color w:val="000000" w:themeColor="text1"/>
          <w:sz w:val="32"/>
          <w:szCs w:val="32"/>
          <w14:textFill>
            <w14:solidFill>
              <w14:schemeClr w14:val="tx1"/>
            </w14:solidFill>
          </w14:textFill>
        </w:rPr>
      </w:pPr>
    </w:p>
    <w:p>
      <w:pPr>
        <w:pStyle w:val="2"/>
      </w:pPr>
    </w:p>
    <w:p>
      <w:pPr>
        <w:spacing w:line="560" w:lineRule="exact"/>
        <w:ind w:left="1" w:firstLine="280" w:firstLineChars="100"/>
        <w:rPr>
          <w:rFonts w:ascii="仿宋_GB2312" w:hAnsi="仿宋_GB2312" w:eastAsia="仿宋_GB2312" w:cs="仿宋_GB2312"/>
          <w:spacing w:val="-4"/>
          <w:sz w:val="28"/>
          <w:szCs w:val="28"/>
        </w:rPr>
      </w:pP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抄送：区委各部门，区人大常委会办公室，区政协办公室，区监委，</w:t>
      </w:r>
    </w:p>
    <w:p>
      <w:pPr>
        <w:spacing w:line="560" w:lineRule="exact"/>
        <w:ind w:firstLine="1117" w:firstLineChars="411"/>
        <w:rPr>
          <w:rFonts w:ascii="仿宋_GB2312" w:hAnsi="仿宋_GB2312" w:eastAsia="仿宋_GB2312" w:cs="仿宋_GB2312"/>
          <w:sz w:val="28"/>
          <w:szCs w:val="28"/>
        </w:rPr>
      </w:pPr>
      <w:r>
        <w:rPr>
          <w:rFonts w:hint="eastAsia" w:ascii="仿宋_GB2312" w:hAnsi="仿宋_GB2312" w:eastAsia="仿宋_GB2312" w:cs="仿宋_GB2312"/>
          <w:spacing w:val="-4"/>
          <w:sz w:val="28"/>
          <w:szCs w:val="28"/>
        </w:rPr>
        <w:t>区法院</w:t>
      </w:r>
      <w:r>
        <w:rPr>
          <w:rFonts w:hint="eastAsia" w:ascii="仿宋_GB2312" w:hAnsi="仿宋_GB2312" w:eastAsia="仿宋_GB2312" w:cs="仿宋_GB2312"/>
          <w:sz w:val="28"/>
          <w:szCs w:val="28"/>
        </w:rPr>
        <w:t>，区人武部。</w:t>
      </w:r>
    </w:p>
    <w:p>
      <w:pPr>
        <w:spacing w:line="560" w:lineRule="exact"/>
        <w:ind w:firstLine="280" w:firstLineChars="100"/>
        <w:rPr>
          <w:rFonts w:ascii="仿宋_GB2312" w:hAnsi="仿宋_GB2312" w:eastAsia="仿宋_GB2312" w:cs="仿宋_GB2312"/>
          <w:sz w:val="28"/>
          <w:szCs w:val="28"/>
        </w:rPr>
      </w:pPr>
      <w:bookmarkStart w:id="0" w:name="OLE_LINK1"/>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clN1v5AQAA8gMAAA4AAABkcnMvZTJvRG9jLnhtbK1TS44TMRDd&#10;I3EHy3vSSVAyTCudWUwYNggiAQeouN3dlvyTy0knl+ACSOxgxZI9t2E4BmV3JsxnkwW9cJddVa/q&#10;PZcXV3uj2U4GVM5WfDIacyatcLWybcU/fbx58YozjGBr0M7Kih8k8qvl82eL3pdy6jqnaxkYgVgs&#10;e1/xLkZfFgWKThrAkfPSkrNxwUCkbWiLOkBP6EYX0/F4XvQu1D44IRHpdDU4+RExnAPomkYJuXJi&#10;a6SNA2qQGiJRwk555MvcbdNIEd83DcrIdMWJacwrFSF7k9ZiuYCyDeA7JY4twDktPOJkQFkqeoJa&#10;QQS2DeoJlFEiOHRNHAlnioFIVoRYTMaPtPnQgZeZC0mN/iQ6/j9Y8W63DkzVFb/kzIKhC7/98vP3&#10;529/fn2l9fbHd3aZROo9lhR7bdfhuEO/Donxvgkm/YkL22dhDydh5T4yQYez+fzi5cWMM3HnK/4l&#10;+oDxjXSGJaPiWtnEGUrYvcVIxSj0LiQda8t66nY2TXBAA9jQxZNpPJFA2+ZcdFrVN0rrlIGh3Vzr&#10;wHaQhiB/iRLhPghLRVaA3RCXXcN4dBLq17Zm8eBJHkuvgqcWjKw505IeUbIIEMoISp8TSaW1TQky&#10;j+iRZ9J4UDVZG1cf6Gq2Pqi2I10muefkoVHI3R/HNs3a/T3Z95/q8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ZyU3W/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sz w:val="28"/>
          <w:szCs w:val="28"/>
        </w:rPr>
        <w:t>泰安市泰山区人民政府办公室              2022年5月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 xml:space="preserve">日印发 </w:t>
      </w:r>
      <w:bookmarkEnd w:id="0"/>
      <w:r>
        <w:rPr>
          <w:rFonts w:hint="eastAsia" w:ascii="仿宋_GB2312" w:hAnsi="仿宋_GB2312" w:eastAsia="仿宋_GB2312" w:cs="仿宋_GB2312"/>
          <w:sz w:val="28"/>
          <w:szCs w:val="28"/>
        </w:rPr>
        <w:t xml:space="preserve"> </w:t>
      </w:r>
    </w:p>
    <w:p>
      <w:pPr>
        <w:spacing w:line="240" w:lineRule="exact"/>
        <w:ind w:firstLine="640"/>
      </w:pPr>
      <w:r>
        <w:rPr>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pt;width:446.25pt;z-index:251662336;mso-width-relative:page;mso-height-relative:page;" filled="f" stroked="t" coordsize="21600,21600" o:gfxdata="UEsDBAoAAAAAAIdO4kAAAAAAAAAAAAAAAAAEAAAAZHJzL1BLAwQUAAAACACHTuJAVMjyntQAAAAG&#10;AQAADwAAAGRycy9kb3ducmV2LnhtbE2PzU7DMBCE70i8g7VIXKrWbhFRFLLpAciNCwXEdRsvSUS8&#10;TmP3B54elwucRqNZzXxbrk9uUAeeQu8FYbkwoFgab3tpEV5f6nkOKkQSS4MXRvjiAOvq8qKkwvqj&#10;PPNhE1uVSiQUhNDFOBZah6ZjR2HhR5aUffjJUUx2arWd6JjK3aBXxmTaUS9poaOR7ztuPjd7hxDq&#10;N97V37NmZt5vWs+r3cPTIyFeXy3NHajIp/h3DGf8hA5VYtr6vdigBoR5ll6JCGdJcZ5nt6C2v15X&#10;pf6PX/0A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UyPKe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szCs w:val="32"/>
        </w:rPr>
        <w:t xml:space="preserve">                </w:t>
      </w:r>
    </w:p>
    <w:sectPr>
      <w:footerReference r:id="rId3" w:type="default"/>
      <w:pgSz w:w="11906" w:h="16838"/>
      <w:pgMar w:top="1984" w:right="1531" w:bottom="1531" w:left="1531" w:header="851" w:footer="124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经典粗宋简">
    <w:panose1 w:val="02010609000101010101"/>
    <w:charset w:val="86"/>
    <w:family w:val="auto"/>
    <w:pitch w:val="default"/>
    <w:sig w:usb0="A1007AEF" w:usb1="F9DF7CFB" w:usb2="0000001E" w:usb3="00000000" w:csb0="2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rPr>
                              <w:rFonts w:hint="eastAsia" w:ascii="宋体" w:hAnsi="宋体" w:eastAsia="宋体" w:cs="宋体"/>
                              <w:sz w:val="28"/>
                              <w:szCs w:val="28"/>
                            </w:rPr>
                            <w:t>—</w:t>
                          </w:r>
                          <w:sdt>
                            <w:sdtPr>
                              <w:rPr>
                                <w:rFonts w:hint="eastAsia" w:ascii="宋体" w:hAnsi="宋体" w:eastAsia="宋体" w:cs="宋体"/>
                                <w:sz w:val="28"/>
                                <w:szCs w:val="28"/>
                              </w:rPr>
                              <w:id w:val="26013126"/>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7</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sdtContent>
                          </w:sd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jc w:val="center"/>
                    </w:pPr>
                    <w:r>
                      <w:rPr>
                        <w:rFonts w:hint="eastAsia" w:ascii="宋体" w:hAnsi="宋体" w:eastAsia="宋体" w:cs="宋体"/>
                        <w:sz w:val="28"/>
                        <w:szCs w:val="28"/>
                      </w:rPr>
                      <w:t>—</w:t>
                    </w:r>
                    <w:sdt>
                      <w:sdtPr>
                        <w:rPr>
                          <w:rFonts w:hint="eastAsia" w:ascii="宋体" w:hAnsi="宋体" w:eastAsia="宋体" w:cs="宋体"/>
                          <w:sz w:val="28"/>
                          <w:szCs w:val="28"/>
                        </w:rPr>
                        <w:id w:val="26013126"/>
                      </w:sdtPr>
                      <w:sdtEndPr>
                        <w:rPr>
                          <w:rFonts w:hint="eastAsia" w:ascii="宋体" w:hAnsi="宋体" w:eastAsia="宋体" w:cs="宋体"/>
                          <w:sz w:val="28"/>
                          <w:szCs w:val="28"/>
                        </w:rPr>
                      </w:sdtEndPr>
                      <w:sdtContent>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7</w:t>
                        </w:r>
                        <w:r>
                          <w:rPr>
                            <w:rFonts w:hint="eastAsia" w:ascii="宋体" w:hAnsi="宋体" w:eastAsia="宋体" w:cs="宋体"/>
                            <w:sz w:val="28"/>
                            <w:szCs w:val="28"/>
                            <w:lang w:val="zh-CN"/>
                          </w:rPr>
                          <w:fldChar w:fldCharType="end"/>
                        </w:r>
                        <w:r>
                          <w:rPr>
                            <w:rFonts w:hint="eastAsia" w:ascii="宋体" w:hAnsi="宋体" w:eastAsia="宋体" w:cs="宋体"/>
                            <w:sz w:val="28"/>
                            <w:szCs w:val="28"/>
                            <w:lang w:val="zh-CN"/>
                          </w:rPr>
                          <w:t>—</w:t>
                        </w:r>
                      </w:sdtContent>
                    </w:sdt>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00CC399F"/>
    <w:rsid w:val="00021FD0"/>
    <w:rsid w:val="00026744"/>
    <w:rsid w:val="00060CA6"/>
    <w:rsid w:val="00085F79"/>
    <w:rsid w:val="00087087"/>
    <w:rsid w:val="000A462C"/>
    <w:rsid w:val="000B73C1"/>
    <w:rsid w:val="000C1B1E"/>
    <w:rsid w:val="000D162D"/>
    <w:rsid w:val="000D788A"/>
    <w:rsid w:val="000E1A3D"/>
    <w:rsid w:val="000F049F"/>
    <w:rsid w:val="001109CD"/>
    <w:rsid w:val="0011200A"/>
    <w:rsid w:val="00114DE7"/>
    <w:rsid w:val="00126471"/>
    <w:rsid w:val="001540E3"/>
    <w:rsid w:val="00161B37"/>
    <w:rsid w:val="001637C8"/>
    <w:rsid w:val="00171663"/>
    <w:rsid w:val="001723AD"/>
    <w:rsid w:val="00182758"/>
    <w:rsid w:val="00187870"/>
    <w:rsid w:val="001A725C"/>
    <w:rsid w:val="001A7C42"/>
    <w:rsid w:val="001D0E48"/>
    <w:rsid w:val="001E0550"/>
    <w:rsid w:val="00200FA1"/>
    <w:rsid w:val="00210EED"/>
    <w:rsid w:val="00213D92"/>
    <w:rsid w:val="00222DFC"/>
    <w:rsid w:val="00232F81"/>
    <w:rsid w:val="00235484"/>
    <w:rsid w:val="0024755F"/>
    <w:rsid w:val="00247C69"/>
    <w:rsid w:val="002523F0"/>
    <w:rsid w:val="00264F5B"/>
    <w:rsid w:val="00284E38"/>
    <w:rsid w:val="00285527"/>
    <w:rsid w:val="00290CA5"/>
    <w:rsid w:val="00291AE4"/>
    <w:rsid w:val="00294641"/>
    <w:rsid w:val="002A5E2C"/>
    <w:rsid w:val="002B1229"/>
    <w:rsid w:val="002B5EAB"/>
    <w:rsid w:val="002E4F71"/>
    <w:rsid w:val="002F1436"/>
    <w:rsid w:val="002F63C5"/>
    <w:rsid w:val="002F6775"/>
    <w:rsid w:val="00320062"/>
    <w:rsid w:val="00333757"/>
    <w:rsid w:val="0035025F"/>
    <w:rsid w:val="00367FEC"/>
    <w:rsid w:val="00377734"/>
    <w:rsid w:val="003908AC"/>
    <w:rsid w:val="003934BB"/>
    <w:rsid w:val="003A49FB"/>
    <w:rsid w:val="003B78E4"/>
    <w:rsid w:val="003C4017"/>
    <w:rsid w:val="003C7E91"/>
    <w:rsid w:val="003E0706"/>
    <w:rsid w:val="003E72C5"/>
    <w:rsid w:val="00401BE8"/>
    <w:rsid w:val="00422576"/>
    <w:rsid w:val="0043269F"/>
    <w:rsid w:val="00442578"/>
    <w:rsid w:val="00447F21"/>
    <w:rsid w:val="00450572"/>
    <w:rsid w:val="00452F68"/>
    <w:rsid w:val="00455D4C"/>
    <w:rsid w:val="00455DBA"/>
    <w:rsid w:val="00456019"/>
    <w:rsid w:val="00465387"/>
    <w:rsid w:val="004734A2"/>
    <w:rsid w:val="004765B6"/>
    <w:rsid w:val="00491FC1"/>
    <w:rsid w:val="004A148E"/>
    <w:rsid w:val="004A2438"/>
    <w:rsid w:val="004A59C6"/>
    <w:rsid w:val="004D2841"/>
    <w:rsid w:val="004F4CD7"/>
    <w:rsid w:val="004F55AC"/>
    <w:rsid w:val="00501E11"/>
    <w:rsid w:val="005215C2"/>
    <w:rsid w:val="00523915"/>
    <w:rsid w:val="005337E2"/>
    <w:rsid w:val="00541706"/>
    <w:rsid w:val="00543E53"/>
    <w:rsid w:val="00561B39"/>
    <w:rsid w:val="00577F93"/>
    <w:rsid w:val="00580ACD"/>
    <w:rsid w:val="00584C1A"/>
    <w:rsid w:val="00586183"/>
    <w:rsid w:val="0058640E"/>
    <w:rsid w:val="00597DB9"/>
    <w:rsid w:val="005A774A"/>
    <w:rsid w:val="005A7D23"/>
    <w:rsid w:val="005B2158"/>
    <w:rsid w:val="005B3252"/>
    <w:rsid w:val="005C7F0B"/>
    <w:rsid w:val="005D60BC"/>
    <w:rsid w:val="005D7C14"/>
    <w:rsid w:val="005E393E"/>
    <w:rsid w:val="005E43DB"/>
    <w:rsid w:val="005E739F"/>
    <w:rsid w:val="00603974"/>
    <w:rsid w:val="006077DA"/>
    <w:rsid w:val="00633C19"/>
    <w:rsid w:val="00634280"/>
    <w:rsid w:val="00637241"/>
    <w:rsid w:val="00640D62"/>
    <w:rsid w:val="0064305A"/>
    <w:rsid w:val="0065070B"/>
    <w:rsid w:val="006643FA"/>
    <w:rsid w:val="006676D9"/>
    <w:rsid w:val="006763C7"/>
    <w:rsid w:val="00687BF7"/>
    <w:rsid w:val="00695254"/>
    <w:rsid w:val="006A09F1"/>
    <w:rsid w:val="006A12F7"/>
    <w:rsid w:val="006A1A8D"/>
    <w:rsid w:val="006C0549"/>
    <w:rsid w:val="006C1C4A"/>
    <w:rsid w:val="006D25D6"/>
    <w:rsid w:val="006D2F13"/>
    <w:rsid w:val="006D4313"/>
    <w:rsid w:val="006D4F0F"/>
    <w:rsid w:val="006E3786"/>
    <w:rsid w:val="006E55B5"/>
    <w:rsid w:val="006F6F75"/>
    <w:rsid w:val="006F7117"/>
    <w:rsid w:val="00710974"/>
    <w:rsid w:val="007244BE"/>
    <w:rsid w:val="0073471E"/>
    <w:rsid w:val="0073698B"/>
    <w:rsid w:val="00736B71"/>
    <w:rsid w:val="00744BF4"/>
    <w:rsid w:val="00746FA5"/>
    <w:rsid w:val="00746FF9"/>
    <w:rsid w:val="0074795A"/>
    <w:rsid w:val="00752E22"/>
    <w:rsid w:val="0075350A"/>
    <w:rsid w:val="00753DC4"/>
    <w:rsid w:val="00774787"/>
    <w:rsid w:val="007A4390"/>
    <w:rsid w:val="007C1EF1"/>
    <w:rsid w:val="007C7B06"/>
    <w:rsid w:val="007D5033"/>
    <w:rsid w:val="007E23A3"/>
    <w:rsid w:val="007F23BE"/>
    <w:rsid w:val="007F2AB4"/>
    <w:rsid w:val="00820E96"/>
    <w:rsid w:val="0082255A"/>
    <w:rsid w:val="00826F42"/>
    <w:rsid w:val="00831383"/>
    <w:rsid w:val="00856F0B"/>
    <w:rsid w:val="0086344C"/>
    <w:rsid w:val="00867C23"/>
    <w:rsid w:val="00874602"/>
    <w:rsid w:val="00886895"/>
    <w:rsid w:val="0089665F"/>
    <w:rsid w:val="008D12CB"/>
    <w:rsid w:val="008E38E4"/>
    <w:rsid w:val="008F08A8"/>
    <w:rsid w:val="008F4F42"/>
    <w:rsid w:val="009036E1"/>
    <w:rsid w:val="00906860"/>
    <w:rsid w:val="00910755"/>
    <w:rsid w:val="00910AD8"/>
    <w:rsid w:val="00915CA8"/>
    <w:rsid w:val="00932131"/>
    <w:rsid w:val="0096115A"/>
    <w:rsid w:val="0096702F"/>
    <w:rsid w:val="009770FF"/>
    <w:rsid w:val="009915AA"/>
    <w:rsid w:val="0099185C"/>
    <w:rsid w:val="009A1D29"/>
    <w:rsid w:val="009A6842"/>
    <w:rsid w:val="009C0532"/>
    <w:rsid w:val="009C7900"/>
    <w:rsid w:val="009E0D40"/>
    <w:rsid w:val="009E281B"/>
    <w:rsid w:val="009F2B08"/>
    <w:rsid w:val="009F4994"/>
    <w:rsid w:val="00A03C08"/>
    <w:rsid w:val="00A05CE3"/>
    <w:rsid w:val="00A1192F"/>
    <w:rsid w:val="00A21250"/>
    <w:rsid w:val="00A2276E"/>
    <w:rsid w:val="00A27B52"/>
    <w:rsid w:val="00A315C9"/>
    <w:rsid w:val="00A3185F"/>
    <w:rsid w:val="00A55BF4"/>
    <w:rsid w:val="00A757F0"/>
    <w:rsid w:val="00A80A87"/>
    <w:rsid w:val="00A8619B"/>
    <w:rsid w:val="00A95043"/>
    <w:rsid w:val="00A95275"/>
    <w:rsid w:val="00A96CA3"/>
    <w:rsid w:val="00AA132D"/>
    <w:rsid w:val="00AA69FE"/>
    <w:rsid w:val="00AB403C"/>
    <w:rsid w:val="00AD013C"/>
    <w:rsid w:val="00AD40AE"/>
    <w:rsid w:val="00AF0F1A"/>
    <w:rsid w:val="00AF440D"/>
    <w:rsid w:val="00B061CD"/>
    <w:rsid w:val="00B13A96"/>
    <w:rsid w:val="00B24049"/>
    <w:rsid w:val="00B27844"/>
    <w:rsid w:val="00B4103D"/>
    <w:rsid w:val="00B43253"/>
    <w:rsid w:val="00B44F67"/>
    <w:rsid w:val="00B51D1F"/>
    <w:rsid w:val="00B52D86"/>
    <w:rsid w:val="00B57D59"/>
    <w:rsid w:val="00B91C36"/>
    <w:rsid w:val="00B962DF"/>
    <w:rsid w:val="00BA001D"/>
    <w:rsid w:val="00BB116B"/>
    <w:rsid w:val="00BB7107"/>
    <w:rsid w:val="00BC47E9"/>
    <w:rsid w:val="00BD7234"/>
    <w:rsid w:val="00BE36AE"/>
    <w:rsid w:val="00BF708A"/>
    <w:rsid w:val="00C0403A"/>
    <w:rsid w:val="00C07864"/>
    <w:rsid w:val="00C12860"/>
    <w:rsid w:val="00C84AC5"/>
    <w:rsid w:val="00CB3AF1"/>
    <w:rsid w:val="00CC399F"/>
    <w:rsid w:val="00CD1698"/>
    <w:rsid w:val="00CE7DCB"/>
    <w:rsid w:val="00CF18F2"/>
    <w:rsid w:val="00CF6DDB"/>
    <w:rsid w:val="00D13B30"/>
    <w:rsid w:val="00D26E88"/>
    <w:rsid w:val="00D40029"/>
    <w:rsid w:val="00D54701"/>
    <w:rsid w:val="00D71377"/>
    <w:rsid w:val="00D717E7"/>
    <w:rsid w:val="00D87384"/>
    <w:rsid w:val="00DC07B4"/>
    <w:rsid w:val="00DC5D02"/>
    <w:rsid w:val="00DE451E"/>
    <w:rsid w:val="00DF0117"/>
    <w:rsid w:val="00E00AD8"/>
    <w:rsid w:val="00E3787A"/>
    <w:rsid w:val="00E52576"/>
    <w:rsid w:val="00E869E1"/>
    <w:rsid w:val="00E8707D"/>
    <w:rsid w:val="00E96024"/>
    <w:rsid w:val="00EB4C8A"/>
    <w:rsid w:val="00EB5575"/>
    <w:rsid w:val="00EB564F"/>
    <w:rsid w:val="00EB678E"/>
    <w:rsid w:val="00EC0F6F"/>
    <w:rsid w:val="00EC1347"/>
    <w:rsid w:val="00EC6AC4"/>
    <w:rsid w:val="00EF1F9B"/>
    <w:rsid w:val="00EF2206"/>
    <w:rsid w:val="00F04E38"/>
    <w:rsid w:val="00F124F4"/>
    <w:rsid w:val="00F15119"/>
    <w:rsid w:val="00F245DF"/>
    <w:rsid w:val="00F3034A"/>
    <w:rsid w:val="00F3623A"/>
    <w:rsid w:val="00F37DEB"/>
    <w:rsid w:val="00F62883"/>
    <w:rsid w:val="00F7643F"/>
    <w:rsid w:val="00F8391B"/>
    <w:rsid w:val="00F87BAC"/>
    <w:rsid w:val="00F94239"/>
    <w:rsid w:val="00F977C1"/>
    <w:rsid w:val="00FA3C7E"/>
    <w:rsid w:val="00FB515E"/>
    <w:rsid w:val="00FC0ECC"/>
    <w:rsid w:val="00FC429B"/>
    <w:rsid w:val="00FC5D45"/>
    <w:rsid w:val="00FC6DF9"/>
    <w:rsid w:val="00FF4DF7"/>
    <w:rsid w:val="0D647B45"/>
    <w:rsid w:val="1F117B9E"/>
    <w:rsid w:val="369B0A81"/>
    <w:rsid w:val="3D5F7A8C"/>
    <w:rsid w:val="653727E6"/>
    <w:rsid w:val="66013625"/>
    <w:rsid w:val="6A8745D1"/>
    <w:rsid w:val="6BC42710"/>
    <w:rsid w:val="7AC1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Body Text"/>
    <w:basedOn w:val="1"/>
    <w:next w:val="1"/>
    <w:qFormat/>
    <w:uiPriority w:val="0"/>
    <w:rPr>
      <w:b/>
      <w:bCs/>
    </w:r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日期 Char"/>
    <w:basedOn w:val="10"/>
    <w:link w:val="4"/>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CF7E19-4B0E-436B-992A-9E0DC6CD00D6}">
  <ds:schemaRefs/>
</ds:datastoreItem>
</file>

<file path=docProps/app.xml><?xml version="1.0" encoding="utf-8"?>
<Properties xmlns="http://schemas.openxmlformats.org/officeDocument/2006/extended-properties" xmlns:vt="http://schemas.openxmlformats.org/officeDocument/2006/docPropsVTypes">
  <Template>Normal</Template>
  <Pages>8</Pages>
  <Words>2840</Words>
  <Characters>2863</Characters>
  <Lines>22</Lines>
  <Paragraphs>6</Paragraphs>
  <TotalTime>6</TotalTime>
  <ScaleCrop>false</ScaleCrop>
  <LinksUpToDate>false</LinksUpToDate>
  <CharactersWithSpaces>3024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2022-02-06T10:02:00Z</dcterms:created>
  <dc:creator>admin</dc:creator>
  <cp:lastModifiedBy>泰山-松融雪</cp:lastModifiedBy>
  <cp:lastPrinted>2022-05-17T08:08:00Z</cp:lastPrinted>
  <dcterms:modified xsi:type="dcterms:W3CDTF">2022-06-22T03:03:49Z</dcterms:modified>
  <cp:revision>344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68B715D3E3844B919477CF6E7D66350C</vt:lpwstr>
  </property>
</Properties>
</file>