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15C28">
      <w:pPr>
        <w:keepNext w:val="0"/>
        <w:keepLines w:val="0"/>
        <w:pageBreakBefore w:val="0"/>
        <w:widowControl w:val="0"/>
        <w:kinsoku/>
        <w:wordWrap/>
        <w:overflowPunct/>
        <w:topLinePunct w:val="0"/>
        <w:autoSpaceDE/>
        <w:autoSpaceDN/>
        <w:bidi w:val="0"/>
        <w:adjustRightInd/>
        <w:snapToGrid/>
        <w:spacing w:before="157" w:beforeLines="50" w:line="440" w:lineRule="exact"/>
        <w:jc w:val="center"/>
        <w:textAlignment w:val="auto"/>
        <w:rPr>
          <w:rFonts w:hint="eastAsia" w:ascii="方正小标宋简体" w:eastAsia="方正小标宋简体" w:hAnsiTheme="majorEastAsia"/>
          <w:sz w:val="44"/>
          <w:szCs w:val="44"/>
        </w:rPr>
      </w:pPr>
      <w:r>
        <w:rPr>
          <w:rFonts w:hint="eastAsia" w:ascii="方正小标宋简体" w:eastAsia="方正小标宋简体" w:hAnsiTheme="majorEastAsia"/>
          <w:sz w:val="44"/>
          <w:szCs w:val="44"/>
        </w:rPr>
        <w:t>申请工伤认定告知书</w:t>
      </w:r>
    </w:p>
    <w:p w14:paraId="7C4FC63F">
      <w:pPr>
        <w:spacing w:line="340" w:lineRule="exact"/>
        <w:ind w:firstLine="424" w:firstLineChars="202"/>
        <w:rPr>
          <w:rFonts w:hint="eastAsia" w:ascii="黑体" w:hAnsi="黑体" w:eastAsia="黑体"/>
        </w:rPr>
      </w:pPr>
    </w:p>
    <w:p w14:paraId="55F53471">
      <w:pPr>
        <w:spacing w:line="340" w:lineRule="exact"/>
        <w:ind w:firstLine="424" w:firstLineChars="202"/>
        <w:rPr>
          <w:rFonts w:ascii="黑体" w:hAnsi="黑体" w:eastAsia="黑体"/>
        </w:rPr>
      </w:pPr>
      <w:r>
        <w:rPr>
          <w:rFonts w:hint="eastAsia" w:ascii="黑体" w:hAnsi="黑体" w:eastAsia="黑体"/>
        </w:rPr>
        <w:t>一、工伤认定申请时限：</w:t>
      </w:r>
    </w:p>
    <w:p w14:paraId="38CDD46E">
      <w:pPr>
        <w:spacing w:line="340" w:lineRule="exact"/>
        <w:ind w:firstLine="424" w:firstLineChars="202"/>
        <w:rPr>
          <w:rFonts w:hint="default"/>
          <w:b/>
          <w:bCs/>
          <w:highlight w:val="none"/>
          <w:lang w:val="en-US" w:eastAsia="zh-CN"/>
        </w:rPr>
      </w:pPr>
      <w:r>
        <w:rPr>
          <w:rFonts w:hint="eastAsia"/>
          <w:b w:val="0"/>
          <w:bCs w:val="0"/>
          <w:highlight w:val="none"/>
          <w:lang w:eastAsia="zh-CN"/>
        </w:rPr>
        <w:t>职工发生事故伤害（含发生事故下落不明）或者按照职业病防治</w:t>
      </w:r>
      <w:bookmarkStart w:id="0" w:name="_GoBack"/>
      <w:bookmarkEnd w:id="0"/>
      <w:r>
        <w:rPr>
          <w:rFonts w:hint="eastAsia"/>
          <w:b w:val="0"/>
          <w:bCs w:val="0"/>
          <w:highlight w:val="none"/>
          <w:lang w:eastAsia="zh-CN"/>
        </w:rPr>
        <w:t>法规定被诊断、鉴定为职业病的，用人单位可在</w:t>
      </w:r>
      <w:r>
        <w:rPr>
          <w:rFonts w:hint="eastAsia"/>
          <w:b w:val="0"/>
          <w:bCs w:val="0"/>
          <w:highlight w:val="none"/>
          <w:lang w:val="en-US" w:eastAsia="zh-CN"/>
        </w:rPr>
        <w:t>48小时内填报《山东省工伤事故（职业病）登记表》，报告用人单位参保地人力资源社会保障部门。</w:t>
      </w:r>
      <w:r>
        <w:rPr>
          <w:rFonts w:hint="eastAsia"/>
          <w:b/>
          <w:bCs/>
          <w:highlight w:val="none"/>
          <w:u w:val="single"/>
          <w:lang w:val="en" w:eastAsia="zh-CN"/>
        </w:rPr>
        <w:t>用人单位</w:t>
      </w:r>
      <w:r>
        <w:rPr>
          <w:rFonts w:hint="eastAsia"/>
          <w:b/>
          <w:bCs/>
          <w:highlight w:val="none"/>
          <w:lang w:val="en" w:eastAsia="zh-CN"/>
        </w:rPr>
        <w:t>可将</w:t>
      </w:r>
      <w:r>
        <w:rPr>
          <w:rFonts w:hint="eastAsia"/>
          <w:b/>
          <w:bCs/>
          <w:highlight w:val="none"/>
          <w:lang w:val="en-US" w:eastAsia="zh-CN"/>
        </w:rPr>
        <w:t>48小时内填报的登记表通过</w:t>
      </w:r>
      <w:r>
        <w:rPr>
          <w:rFonts w:hint="eastAsia"/>
          <w:b/>
          <w:bCs/>
          <w:highlight w:val="none"/>
          <w:u w:val="none"/>
          <w:lang w:val="en-US" w:eastAsia="zh-CN"/>
        </w:rPr>
        <w:t>电子邮件</w:t>
      </w:r>
      <w:r>
        <w:rPr>
          <w:rFonts w:hint="eastAsia"/>
          <w:b/>
          <w:bCs/>
          <w:highlight w:val="none"/>
          <w:lang w:val="en-US" w:eastAsia="zh-CN"/>
        </w:rPr>
        <w:t>发送至泰山区人力资源和社会保障局社会保险科，邮箱地址：tsq8330952@163.com。(格式参照《山东省工伤事故（职业病）登记表》)</w:t>
      </w:r>
    </w:p>
    <w:p w14:paraId="11EDCF13">
      <w:pPr>
        <w:spacing w:line="340" w:lineRule="exact"/>
        <w:ind w:firstLine="424" w:firstLineChars="202"/>
        <w:rPr>
          <w:rFonts w:hint="eastAsia"/>
        </w:rPr>
      </w:pPr>
      <w:r>
        <w:rPr>
          <w:rFonts w:hint="eastAsia"/>
        </w:rPr>
        <w:t>《工伤保险条例》第十七条规定，</w:t>
      </w:r>
      <w:r>
        <w:rPr>
          <w:rFonts w:hint="eastAsia"/>
          <w:b/>
          <w:bCs/>
        </w:rPr>
        <w:t>职工发生事故伤害或者按照职业病防治规定被诊断、鉴定为职业病，所在单位应当自事故伤害发生之日或者被诊断、鉴定为职业病之日起30日内，向统筹地区社会保险行政部门提出工伤认定申请。用人单位未按规定提出工伤认定申请的,工伤职工或者其近亲属、工会组织在事故伤害发生之日起1年内，可以直接向用人单位所在地统筹地区社会保险行政部门提出工伤认定申请。</w:t>
      </w:r>
      <w:r>
        <w:rPr>
          <w:rFonts w:hint="eastAsia"/>
          <w:b/>
          <w:bCs/>
          <w:lang w:eastAsia="zh-CN"/>
        </w:rPr>
        <w:t>（重要提醒：以递交工伤认定申请材料时间开始起算）</w:t>
      </w:r>
      <w:r>
        <w:rPr>
          <w:rFonts w:hint="eastAsia"/>
        </w:rPr>
        <w:t>用人单位未在规定时限内提交工伤认定申请，在此期间发生符合本条例规定的工伤待遇等有关费用由该用人单位负担。</w:t>
      </w:r>
    </w:p>
    <w:p w14:paraId="584BF702">
      <w:pPr>
        <w:spacing w:line="340" w:lineRule="exact"/>
        <w:ind w:firstLine="424" w:firstLineChars="202"/>
        <w:rPr>
          <w:rFonts w:ascii="黑体" w:hAnsi="黑体" w:eastAsia="黑体"/>
        </w:rPr>
      </w:pPr>
      <w:r>
        <w:rPr>
          <w:rFonts w:hint="eastAsia" w:ascii="黑体" w:hAnsi="黑体" w:eastAsia="黑体"/>
        </w:rPr>
        <w:t>二、申请工伤认定需递交材料：</w:t>
      </w:r>
    </w:p>
    <w:p w14:paraId="1EC75B2C">
      <w:pPr>
        <w:spacing w:line="340" w:lineRule="exact"/>
        <w:ind w:firstLine="424" w:firstLineChars="202"/>
        <w:rPr>
          <w:rFonts w:hint="eastAsia"/>
          <w:highlight w:val="none"/>
          <w:lang w:eastAsia="zh-CN"/>
        </w:rPr>
      </w:pPr>
      <w:r>
        <w:rPr>
          <w:rFonts w:hint="eastAsia"/>
          <w:highlight w:val="none"/>
        </w:rPr>
        <w:t>申请人委托</w:t>
      </w:r>
      <w:r>
        <w:rPr>
          <w:rFonts w:hint="eastAsia"/>
          <w:highlight w:val="none"/>
          <w:lang w:eastAsia="zh-CN"/>
        </w:rPr>
        <w:t>代理人</w:t>
      </w:r>
      <w:r>
        <w:rPr>
          <w:rFonts w:hint="eastAsia"/>
          <w:highlight w:val="none"/>
        </w:rPr>
        <w:t>办理工伤认定的，代理人应提交授权委托</w:t>
      </w:r>
      <w:r>
        <w:rPr>
          <w:rFonts w:hint="eastAsia"/>
          <w:highlight w:val="none"/>
          <w:lang w:eastAsia="zh-CN"/>
        </w:rPr>
        <w:t>书</w:t>
      </w:r>
      <w:r>
        <w:rPr>
          <w:rFonts w:hint="eastAsia"/>
          <w:highlight w:val="none"/>
        </w:rPr>
        <w:t>（参照《授权委托书》）</w:t>
      </w:r>
      <w:r>
        <w:rPr>
          <w:rFonts w:hint="eastAsia"/>
          <w:highlight w:val="none"/>
          <w:lang w:eastAsia="zh-CN"/>
        </w:rPr>
        <w:t>及代理人身份证复印件</w:t>
      </w:r>
      <w:r>
        <w:rPr>
          <w:rFonts w:hint="eastAsia"/>
          <w:highlight w:val="none"/>
        </w:rPr>
        <w:t>。</w:t>
      </w:r>
    </w:p>
    <w:p w14:paraId="67637E78">
      <w:pPr>
        <w:spacing w:line="340" w:lineRule="exact"/>
        <w:ind w:firstLine="424" w:firstLineChars="202"/>
        <w:rPr>
          <w:rFonts w:hint="eastAsia"/>
        </w:rPr>
      </w:pPr>
      <w:r>
        <w:rPr>
          <w:rFonts w:hint="eastAsia"/>
        </w:rPr>
        <w:t>（1）《工伤认定申请表》（按照填表说明填写申请表）；</w:t>
      </w:r>
    </w:p>
    <w:p w14:paraId="7FB37EBD">
      <w:pPr>
        <w:spacing w:line="340" w:lineRule="exact"/>
        <w:ind w:firstLine="424" w:firstLineChars="202"/>
        <w:rPr>
          <w:rFonts w:hint="eastAsia"/>
        </w:rPr>
      </w:pPr>
      <w:r>
        <w:rPr>
          <w:rFonts w:hint="eastAsia"/>
        </w:rPr>
        <w:t>（2）劳动</w:t>
      </w:r>
      <w:r>
        <w:rPr>
          <w:rFonts w:hint="eastAsia"/>
          <w:lang w:eastAsia="zh-CN"/>
        </w:rPr>
        <w:t>、聘用</w:t>
      </w:r>
      <w:r>
        <w:rPr>
          <w:rFonts w:hint="eastAsia"/>
        </w:rPr>
        <w:t>合同</w:t>
      </w:r>
      <w:r>
        <w:rPr>
          <w:rFonts w:hint="eastAsia"/>
          <w:lang w:eastAsia="zh-CN"/>
        </w:rPr>
        <w:t>文本复印件</w:t>
      </w:r>
      <w:r>
        <w:rPr>
          <w:rFonts w:hint="eastAsia"/>
        </w:rPr>
        <w:t>或者与用人单位存在劳动关系（包括事实劳动关系）</w:t>
      </w:r>
      <w:r>
        <w:rPr>
          <w:rFonts w:hint="eastAsia"/>
          <w:lang w:eastAsia="zh-CN"/>
        </w:rPr>
        <w:t>、人事关系</w:t>
      </w:r>
      <w:r>
        <w:rPr>
          <w:rFonts w:hint="eastAsia"/>
        </w:rPr>
        <w:t>的</w:t>
      </w:r>
      <w:r>
        <w:rPr>
          <w:rFonts w:hint="eastAsia"/>
          <w:lang w:eastAsia="zh-CN"/>
        </w:rPr>
        <w:t>其他</w:t>
      </w:r>
      <w:r>
        <w:rPr>
          <w:rFonts w:hint="eastAsia"/>
        </w:rPr>
        <w:t>证明材料；</w:t>
      </w:r>
    </w:p>
    <w:p w14:paraId="08706307">
      <w:pPr>
        <w:spacing w:line="340" w:lineRule="exact"/>
        <w:ind w:firstLine="424" w:firstLineChars="202"/>
        <w:rPr>
          <w:rFonts w:hint="eastAsia"/>
          <w:lang w:val="en-US" w:eastAsia="zh-CN"/>
        </w:rPr>
      </w:pPr>
      <w:r>
        <w:rPr>
          <w:rFonts w:hint="eastAsia"/>
        </w:rPr>
        <w:t>（3）</w:t>
      </w:r>
      <w:r>
        <w:rPr>
          <w:rFonts w:hint="eastAsia"/>
          <w:lang w:val="en-US" w:eastAsia="zh-CN"/>
        </w:rPr>
        <w:t>医疗机构出具的职工受伤害时初诊诊断证明书或者职业病诊断证明书（或者职业病诊断鉴定书），以及与伤情有关的病历材料。</w:t>
      </w:r>
    </w:p>
    <w:p w14:paraId="1B09E240">
      <w:pPr>
        <w:spacing w:line="340" w:lineRule="exact"/>
        <w:ind w:firstLine="424" w:firstLineChars="202"/>
        <w:rPr>
          <w:rFonts w:hint="eastAsia"/>
          <w:b w:val="0"/>
          <w:bCs w:val="0"/>
          <w:lang w:val="en-US" w:eastAsia="zh-CN"/>
        </w:rPr>
      </w:pPr>
      <w:r>
        <w:rPr>
          <w:rFonts w:hint="eastAsia"/>
          <w:b w:val="0"/>
          <w:bCs w:val="0"/>
          <w:lang w:val="en-US" w:eastAsia="zh-CN"/>
        </w:rPr>
        <w:t>劳动者与用人单位之间不存在劳动或者人事关系，但属于承担工伤保险责任情形的，应当提交相关证明材料。</w:t>
      </w:r>
    </w:p>
    <w:p w14:paraId="57C1F287">
      <w:pPr>
        <w:spacing w:line="340" w:lineRule="exact"/>
        <w:ind w:firstLine="424" w:firstLineChars="202"/>
        <w:rPr>
          <w:rFonts w:hint="eastAsia"/>
        </w:rPr>
      </w:pPr>
      <w:r>
        <w:rPr>
          <w:rFonts w:hint="eastAsia"/>
        </w:rPr>
        <w:t>（4）属于下列情形之一的，还应当提供以下相关证明材料；</w:t>
      </w:r>
    </w:p>
    <w:p w14:paraId="0D4F1016">
      <w:pPr>
        <w:spacing w:line="340" w:lineRule="exact"/>
        <w:ind w:firstLine="424" w:firstLineChars="202"/>
        <w:rPr>
          <w:rFonts w:hint="eastAsia" w:eastAsia="东文宋体"/>
          <w:lang w:eastAsia="zh-CN"/>
        </w:rPr>
      </w:pPr>
      <w:r>
        <w:rPr>
          <w:rFonts w:hint="eastAsia" w:ascii="东文宋体" w:hAnsi="东文宋体" w:eastAsia="东文宋体" w:cs="东文宋体"/>
        </w:rPr>
        <w:t>①</w:t>
      </w:r>
      <w:r>
        <w:rPr>
          <w:rFonts w:hint="eastAsia" w:eastAsia="东文宋体"/>
          <w:lang w:eastAsia="zh-CN"/>
        </w:rPr>
        <w:t>职工死亡的，提交死亡证明；</w:t>
      </w:r>
    </w:p>
    <w:p w14:paraId="5190EDA5">
      <w:pPr>
        <w:spacing w:line="340" w:lineRule="exact"/>
        <w:ind w:firstLine="424" w:firstLineChars="202"/>
        <w:rPr>
          <w:rFonts w:hint="eastAsia" w:ascii="Times New Roman" w:hAnsi="Times New Roman"/>
          <w:color w:val="auto"/>
          <w:sz w:val="24"/>
          <w:highlight w:val="none"/>
        </w:rPr>
      </w:pPr>
      <w:r>
        <w:rPr>
          <w:rFonts w:hint="eastAsia" w:ascii="汉仪书宋二S" w:hAnsi="汉仪书宋二S" w:eastAsia="汉仪书宋二S" w:cs="汉仪书宋二S"/>
          <w:lang w:val="en-US" w:eastAsia="zh-CN"/>
        </w:rPr>
        <w:t>②</w:t>
      </w:r>
      <w:r>
        <w:rPr>
          <w:rFonts w:hint="eastAsia" w:ascii="东文宋体" w:hAnsi="东文宋体" w:eastAsia="东文宋体" w:cs="东文宋体"/>
          <w:lang w:val="en-US" w:eastAsia="zh-CN"/>
        </w:rPr>
        <w:t>在工作时间和工作场所内，因履行工作职责受到暴力等意外伤害的，提交公安部门的证明或者其他相关证明；</w:t>
      </w:r>
    </w:p>
    <w:p w14:paraId="4CE7520A">
      <w:pPr>
        <w:spacing w:line="340" w:lineRule="exact"/>
        <w:ind w:firstLine="424" w:firstLineChars="202"/>
        <w:rPr>
          <w:rFonts w:hint="eastAsia"/>
        </w:rPr>
      </w:pPr>
      <w:r>
        <w:rPr>
          <w:rFonts w:hint="eastAsia"/>
        </w:rPr>
        <w:t xml:space="preserve">③因工外出期间，由于工作原因受到伤害或者发生事故下落不明的，提交公安部门的证明或者相关部门的证明； </w:t>
      </w:r>
    </w:p>
    <w:p w14:paraId="5C3F6AAA">
      <w:pPr>
        <w:spacing w:line="340" w:lineRule="exact"/>
        <w:ind w:firstLine="424" w:firstLineChars="202"/>
        <w:rPr>
          <w:rFonts w:hint="eastAsia"/>
        </w:rPr>
      </w:pPr>
      <w:r>
        <w:rPr>
          <w:rFonts w:hint="eastAsia"/>
        </w:rPr>
        <w:t>④上下班途中，受到非本人主要责任的交通事故或者城市轨道交通、客运轮渡、火车事故伤害的，提交公安机关交通管理部门的交通事故责任认定书或者其他相关部门的证明；</w:t>
      </w:r>
    </w:p>
    <w:p w14:paraId="7B804501">
      <w:pPr>
        <w:spacing w:line="340" w:lineRule="exact"/>
        <w:ind w:firstLine="424" w:firstLineChars="202"/>
        <w:rPr>
          <w:rFonts w:hint="eastAsia"/>
          <w:highlight w:val="none"/>
        </w:rPr>
      </w:pPr>
      <w:r>
        <w:rPr>
          <w:rFonts w:hint="eastAsia"/>
          <w:highlight w:val="none"/>
        </w:rPr>
        <w:t>⑤在工作时间和工作岗位，突发疾病死亡或者在48小时之内经抢救无效死亡的，提交医疗机构的抢救</w:t>
      </w:r>
      <w:r>
        <w:rPr>
          <w:rFonts w:hint="eastAsia"/>
          <w:highlight w:val="none"/>
          <w:lang w:eastAsia="zh-CN"/>
        </w:rPr>
        <w:t>病例</w:t>
      </w:r>
      <w:r>
        <w:rPr>
          <w:rFonts w:hint="eastAsia"/>
          <w:highlight w:val="none"/>
        </w:rPr>
        <w:t>；</w:t>
      </w:r>
    </w:p>
    <w:p w14:paraId="2FE87F89">
      <w:pPr>
        <w:spacing w:line="340" w:lineRule="exact"/>
        <w:ind w:firstLine="424" w:firstLineChars="202"/>
        <w:rPr>
          <w:rFonts w:hint="eastAsia"/>
        </w:rPr>
      </w:pPr>
      <w:r>
        <w:rPr>
          <w:rFonts w:hint="eastAsia"/>
          <w:highlight w:val="none"/>
        </w:rPr>
        <w:t>⑥</w:t>
      </w:r>
      <w:r>
        <w:rPr>
          <w:rFonts w:hint="eastAsia"/>
        </w:rPr>
        <w:t>在抢险救灾等维护国家利益、公共利益活动中受到伤害的，提交民政部门或者其他相关部门的证明；</w:t>
      </w:r>
    </w:p>
    <w:p w14:paraId="15052BE6">
      <w:pPr>
        <w:spacing w:line="340" w:lineRule="exact"/>
        <w:ind w:firstLine="424" w:firstLineChars="202"/>
        <w:rPr>
          <w:rFonts w:hint="eastAsia"/>
        </w:rPr>
      </w:pPr>
      <w:r>
        <w:rPr>
          <w:rFonts w:hint="eastAsia"/>
        </w:rPr>
        <w:t>⑦属于因战、因公负伤致残的转业、复员军人，旧伤复发的，提交《革命伤残军人证》及旧伤复发医学鉴定意见；</w:t>
      </w:r>
    </w:p>
    <w:p w14:paraId="6B95E6E6">
      <w:pPr>
        <w:spacing w:line="340" w:lineRule="exact"/>
        <w:ind w:firstLine="424" w:firstLineChars="202"/>
        <w:rPr>
          <w:rFonts w:hint="eastAsia"/>
        </w:rPr>
      </w:pPr>
      <w:r>
        <w:rPr>
          <w:rFonts w:hint="eastAsia" w:ascii="华文仿宋" w:hAnsi="华文仿宋" w:eastAsia="华文仿宋" w:cs="华文仿宋"/>
        </w:rPr>
        <w:t>⑧</w:t>
      </w:r>
      <w:r>
        <w:rPr>
          <w:rFonts w:hint="eastAsia"/>
        </w:rPr>
        <w:t>人力资源社会保障部门根据案情实际情况需要，可以要求申请人提供与伤情有关的病历、影像</w:t>
      </w:r>
      <w:r>
        <w:rPr>
          <w:rFonts w:hint="eastAsia"/>
          <w:lang w:eastAsia="zh-CN"/>
        </w:rPr>
        <w:t>报</w:t>
      </w:r>
      <w:r>
        <w:rPr>
          <w:rFonts w:hint="eastAsia"/>
        </w:rPr>
        <w:t>告等医学资料；</w:t>
      </w:r>
    </w:p>
    <w:p w14:paraId="4258C084">
      <w:pPr>
        <w:spacing w:line="340" w:lineRule="exact"/>
        <w:ind w:firstLine="424" w:firstLineChars="202"/>
        <w:rPr>
          <w:rFonts w:hint="eastAsia" w:ascii="黑体" w:hAnsi="黑体" w:eastAsia="黑体"/>
        </w:rPr>
      </w:pPr>
      <w:r>
        <w:rPr>
          <w:rFonts w:hint="eastAsia" w:ascii="黑体" w:hAnsi="黑体" w:eastAsia="黑体"/>
        </w:rPr>
        <w:t>为加快办理时限，便于人社部门详细了解事故经过，建议申请人提交以下材料：</w:t>
      </w:r>
    </w:p>
    <w:p w14:paraId="0A89C89A">
      <w:pPr>
        <w:numPr>
          <w:ilvl w:val="0"/>
          <w:numId w:val="1"/>
        </w:numPr>
        <w:spacing w:line="340" w:lineRule="exact"/>
        <w:ind w:firstLine="424" w:firstLineChars="202"/>
        <w:rPr>
          <w:rFonts w:hint="eastAsia"/>
        </w:rPr>
      </w:pPr>
      <w:r>
        <w:rPr>
          <w:rFonts w:hint="eastAsia"/>
        </w:rPr>
        <w:t>用人单位工伤事故调查报告书（格式参照《用人单位工伤事故调查报告书</w:t>
      </w:r>
      <w:r>
        <w:rPr>
          <w:rFonts w:hint="eastAsia"/>
          <w:lang w:eastAsia="zh-CN"/>
        </w:rPr>
        <w:t>（</w:t>
      </w:r>
      <w:r>
        <w:rPr>
          <w:rFonts w:hint="eastAsia"/>
        </w:rPr>
        <w:t>参</w:t>
      </w:r>
      <w:r>
        <w:rPr>
          <w:rFonts w:hint="eastAsia"/>
          <w:lang w:eastAsia="zh-CN"/>
        </w:rPr>
        <w:t>考</w:t>
      </w:r>
      <w:r>
        <w:rPr>
          <w:rFonts w:hint="eastAsia"/>
        </w:rPr>
        <w:t>格式</w:t>
      </w:r>
      <w:r>
        <w:rPr>
          <w:rFonts w:hint="eastAsia"/>
          <w:lang w:eastAsia="zh-CN"/>
        </w:rPr>
        <w:t>）（单位申报）</w:t>
      </w:r>
      <w:r>
        <w:rPr>
          <w:rFonts w:hint="eastAsia"/>
        </w:rPr>
        <w:t>》）；</w:t>
      </w:r>
    </w:p>
    <w:p w14:paraId="5B891813">
      <w:pPr>
        <w:numPr>
          <w:ilvl w:val="0"/>
          <w:numId w:val="1"/>
        </w:numPr>
        <w:spacing w:line="340" w:lineRule="exact"/>
        <w:ind w:firstLine="424" w:firstLineChars="202"/>
        <w:rPr>
          <w:rFonts w:hint="eastAsia"/>
        </w:rPr>
      </w:pPr>
      <w:r>
        <w:rPr>
          <w:rFonts w:hint="eastAsia"/>
          <w:lang w:eastAsia="zh-CN"/>
        </w:rPr>
        <w:t>受伤职工本人工伤认定申请书（格式参照《受伤职工本人工伤认定申请书》（参考格式））；</w:t>
      </w:r>
    </w:p>
    <w:p w14:paraId="746A88F2">
      <w:pPr>
        <w:spacing w:line="340" w:lineRule="exact"/>
        <w:ind w:firstLine="424" w:firstLineChars="202"/>
        <w:rPr>
          <w:rFonts w:hint="eastAsia"/>
        </w:rPr>
      </w:pPr>
      <w:r>
        <w:rPr>
          <w:rFonts w:hint="eastAsia"/>
        </w:rPr>
        <w:t>（</w:t>
      </w:r>
      <w:r>
        <w:rPr>
          <w:rFonts w:hint="eastAsia"/>
          <w:lang w:val="en-US" w:eastAsia="zh-CN"/>
        </w:rPr>
        <w:t>3</w:t>
      </w:r>
      <w:r>
        <w:rPr>
          <w:rFonts w:hint="eastAsia"/>
        </w:rPr>
        <w:t>）受伤害职工的身份证复印件，申请人为受伤害职工近亲属的，应同时提交申请身份证明和有效的近亲属关系证明（如结婚证、户口本索引页等），申请人为工会组织的，应同时提交工会介绍信和经办人身份证明；</w:t>
      </w:r>
    </w:p>
    <w:p w14:paraId="1896C5D0">
      <w:pPr>
        <w:spacing w:line="340" w:lineRule="exact"/>
        <w:ind w:firstLine="424" w:firstLineChars="202"/>
        <w:rPr>
          <w:rFonts w:hint="eastAsia"/>
        </w:rPr>
      </w:pPr>
      <w:r>
        <w:rPr>
          <w:rFonts w:hint="eastAsia"/>
        </w:rPr>
        <w:t>（</w:t>
      </w:r>
      <w:r>
        <w:rPr>
          <w:rFonts w:hint="eastAsia"/>
          <w:lang w:val="en-US" w:eastAsia="zh-CN"/>
        </w:rPr>
        <w:t>4</w:t>
      </w:r>
      <w:r>
        <w:rPr>
          <w:rFonts w:hint="eastAsia"/>
        </w:rPr>
        <w:t>）两人以上的证人证言及证人身份证复印件</w:t>
      </w:r>
      <w:r>
        <w:rPr>
          <w:rFonts w:hint="eastAsia"/>
          <w:lang w:eastAsia="zh-CN"/>
        </w:rPr>
        <w:t>（格式参照《泰安市职工工伤认定申请证人证言》）</w:t>
      </w:r>
      <w:r>
        <w:rPr>
          <w:rFonts w:hint="eastAsia"/>
        </w:rPr>
        <w:t>；</w:t>
      </w:r>
    </w:p>
    <w:p w14:paraId="7E4CA45F">
      <w:pPr>
        <w:spacing w:line="340" w:lineRule="exact"/>
        <w:ind w:firstLine="424" w:firstLineChars="202"/>
        <w:rPr>
          <w:rFonts w:hint="eastAsia"/>
        </w:rPr>
      </w:pPr>
      <w:r>
        <w:rPr>
          <w:rFonts w:hint="eastAsia"/>
        </w:rPr>
        <w:t>（</w:t>
      </w:r>
      <w:r>
        <w:rPr>
          <w:rFonts w:hint="eastAsia"/>
          <w:lang w:val="en-US" w:eastAsia="zh-CN"/>
        </w:rPr>
        <w:t>5</w:t>
      </w:r>
      <w:r>
        <w:rPr>
          <w:rFonts w:hint="eastAsia"/>
        </w:rPr>
        <w:t>）用人单位未参加工伤保险或个人申报工伤的，提交用人单位的营业执照副本或者市场监管部门出具的查询证明。</w:t>
      </w:r>
    </w:p>
    <w:p w14:paraId="21AD7802">
      <w:pPr>
        <w:spacing w:line="340" w:lineRule="exact"/>
        <w:ind w:firstLine="424" w:firstLineChars="202"/>
        <w:rPr>
          <w:rFonts w:hint="eastAsia"/>
        </w:rPr>
      </w:pPr>
      <w:r>
        <w:rPr>
          <w:rFonts w:hint="eastAsia"/>
        </w:rPr>
        <w:t>（</w:t>
      </w:r>
      <w:r>
        <w:rPr>
          <w:rFonts w:hint="eastAsia"/>
          <w:lang w:val="en-US" w:eastAsia="zh-CN"/>
        </w:rPr>
        <w:t>6</w:t>
      </w:r>
      <w:r>
        <w:rPr>
          <w:rFonts w:hint="eastAsia"/>
        </w:rPr>
        <w:t>）属于交通事故的，除需提交公安交通管理部门的</w:t>
      </w:r>
      <w:r>
        <w:rPr>
          <w:rFonts w:hint="eastAsia"/>
          <w:lang w:eastAsia="zh-CN"/>
        </w:rPr>
        <w:t>道路</w:t>
      </w:r>
      <w:r>
        <w:rPr>
          <w:rFonts w:hint="eastAsia"/>
        </w:rPr>
        <w:t>交通事故认定书或相关处理证明外，一并提供路线图（标注住址、单位地址、事故发生地</w:t>
      </w:r>
      <w:r>
        <w:rPr>
          <w:rFonts w:hint="eastAsia"/>
          <w:lang w:eastAsia="zh-CN"/>
        </w:rPr>
        <w:t>及行驶路线</w:t>
      </w:r>
      <w:r>
        <w:rPr>
          <w:rFonts w:hint="eastAsia"/>
        </w:rPr>
        <w:t>）、考勤记录；</w:t>
      </w:r>
    </w:p>
    <w:p w14:paraId="74558B66">
      <w:pPr>
        <w:spacing w:line="340" w:lineRule="exact"/>
        <w:ind w:firstLine="424" w:firstLineChars="202"/>
        <w:rPr>
          <w:rFonts w:hint="eastAsia"/>
        </w:rPr>
      </w:pPr>
      <w:r>
        <w:rPr>
          <w:rFonts w:hint="eastAsia"/>
        </w:rPr>
        <w:t>（</w:t>
      </w:r>
      <w:r>
        <w:rPr>
          <w:rFonts w:hint="eastAsia"/>
          <w:lang w:val="en-US" w:eastAsia="zh-CN"/>
        </w:rPr>
        <w:t>7</w:t>
      </w:r>
      <w:r>
        <w:rPr>
          <w:rFonts w:hint="eastAsia"/>
        </w:rPr>
        <w:t>）其他能证明职工受伤经过以及能加快案件事实调查确认的相关材料（如事故发生地监控、经120急救抢救的派车单、初诊病例和住院病例）。</w:t>
      </w:r>
    </w:p>
    <w:p w14:paraId="0A7945CE">
      <w:pPr>
        <w:spacing w:line="340" w:lineRule="exact"/>
        <w:ind w:firstLine="424" w:firstLineChars="202"/>
        <w:rPr>
          <w:rFonts w:hint="eastAsia" w:ascii="黑体" w:hAnsi="黑体" w:eastAsia="黑体"/>
        </w:rPr>
      </w:pPr>
    </w:p>
    <w:p w14:paraId="0EC78C94">
      <w:pPr>
        <w:spacing w:line="340" w:lineRule="exact"/>
        <w:ind w:firstLine="424" w:firstLineChars="202"/>
        <w:rPr>
          <w:rFonts w:ascii="黑体" w:hAnsi="黑体" w:eastAsia="黑体"/>
        </w:rPr>
      </w:pPr>
      <w:r>
        <w:rPr>
          <w:rFonts w:hint="eastAsia" w:ascii="黑体" w:hAnsi="黑体" w:eastAsia="黑体"/>
        </w:rPr>
        <w:t>三、</w:t>
      </w:r>
      <w:r>
        <w:rPr>
          <w:rFonts w:hint="eastAsia" w:ascii="黑体" w:hAnsi="黑体" w:eastAsia="黑体"/>
          <w:lang w:eastAsia="zh-CN"/>
        </w:rPr>
        <w:t>工伤认定办理</w:t>
      </w:r>
      <w:r>
        <w:rPr>
          <w:rFonts w:hint="eastAsia" w:ascii="黑体" w:hAnsi="黑体" w:eastAsia="黑体"/>
        </w:rPr>
        <w:t>时限：</w:t>
      </w:r>
    </w:p>
    <w:p w14:paraId="7DD5BE72">
      <w:pPr>
        <w:spacing w:line="340" w:lineRule="exact"/>
        <w:ind w:firstLine="424" w:firstLineChars="202"/>
        <w:rPr>
          <w:rFonts w:hint="eastAsia"/>
        </w:rPr>
      </w:pPr>
      <w:r>
        <w:rPr>
          <w:rFonts w:hint="eastAsia"/>
          <w:lang w:eastAsia="zh-CN"/>
        </w:rPr>
        <w:t>根据</w:t>
      </w:r>
      <w:r>
        <w:rPr>
          <w:rFonts w:hint="eastAsia"/>
        </w:rPr>
        <w:t>《工伤保险条例》第二十条规定，社会保险行政部门自受理工伤认定申请之日起60日内作出工伤认定的决定。</w:t>
      </w:r>
    </w:p>
    <w:p w14:paraId="28A53E0C">
      <w:pPr>
        <w:spacing w:line="340" w:lineRule="exact"/>
        <w:ind w:firstLine="424" w:firstLineChars="202"/>
        <w:rPr>
          <w:rFonts w:hint="eastAsia" w:ascii="黑体" w:hAnsi="黑体" w:eastAsia="黑体"/>
          <w:lang w:eastAsia="zh-CN"/>
        </w:rPr>
      </w:pPr>
      <w:r>
        <w:rPr>
          <w:rFonts w:hint="eastAsia" w:ascii="黑体" w:hAnsi="黑体" w:eastAsia="黑体"/>
          <w:lang w:eastAsia="zh-CN"/>
        </w:rPr>
        <w:t>四、工伤认定办理渠道及联系电话：</w:t>
      </w:r>
    </w:p>
    <w:tbl>
      <w:tblPr>
        <w:tblStyle w:val="6"/>
        <w:tblpPr w:leftFromText="180" w:rightFromText="180" w:vertAnchor="text" w:tblpXSpec="center" w:tblpY="1"/>
        <w:tblOverlap w:val="never"/>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521"/>
        <w:gridCol w:w="1239"/>
      </w:tblGrid>
      <w:tr w14:paraId="0F05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4BBC2D6">
            <w:pPr>
              <w:spacing w:line="580" w:lineRule="exact"/>
              <w:jc w:val="center"/>
              <w:rPr>
                <w:rFonts w:hint="eastAsia" w:ascii="黑体" w:eastAsia="黑体"/>
                <w:sz w:val="21"/>
                <w:szCs w:val="22"/>
                <w:lang w:eastAsia="zh-CN"/>
              </w:rPr>
            </w:pPr>
            <w:r>
              <w:rPr>
                <w:rFonts w:hint="eastAsia" w:ascii="黑体" w:eastAsia="黑体"/>
                <w:sz w:val="21"/>
                <w:szCs w:val="22"/>
                <w:lang w:eastAsia="zh-CN"/>
              </w:rPr>
              <w:t>参保地</w:t>
            </w:r>
          </w:p>
        </w:tc>
        <w:tc>
          <w:tcPr>
            <w:tcW w:w="6521" w:type="dxa"/>
            <w:vAlign w:val="center"/>
          </w:tcPr>
          <w:p w14:paraId="6C919BDF">
            <w:pPr>
              <w:spacing w:line="580" w:lineRule="exact"/>
              <w:jc w:val="center"/>
              <w:rPr>
                <w:rFonts w:ascii="黑体" w:eastAsia="黑体"/>
                <w:sz w:val="21"/>
                <w:szCs w:val="22"/>
              </w:rPr>
            </w:pPr>
            <w:r>
              <w:rPr>
                <w:rFonts w:hint="eastAsia" w:ascii="黑体" w:eastAsia="黑体"/>
                <w:sz w:val="21"/>
                <w:szCs w:val="22"/>
              </w:rPr>
              <w:t>详细地址</w:t>
            </w:r>
          </w:p>
        </w:tc>
        <w:tc>
          <w:tcPr>
            <w:tcW w:w="1239" w:type="dxa"/>
            <w:vAlign w:val="center"/>
          </w:tcPr>
          <w:p w14:paraId="151C03C8">
            <w:pPr>
              <w:spacing w:line="580" w:lineRule="exact"/>
              <w:jc w:val="center"/>
              <w:rPr>
                <w:rFonts w:ascii="黑体" w:eastAsia="黑体"/>
                <w:sz w:val="21"/>
                <w:szCs w:val="22"/>
              </w:rPr>
            </w:pPr>
            <w:r>
              <w:rPr>
                <w:rFonts w:hint="eastAsia" w:ascii="黑体" w:eastAsia="黑体"/>
                <w:sz w:val="21"/>
                <w:szCs w:val="22"/>
              </w:rPr>
              <w:t>联系电话</w:t>
            </w:r>
          </w:p>
        </w:tc>
      </w:tr>
      <w:tr w14:paraId="478E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9CB3B48">
            <w:pPr>
              <w:spacing w:line="580" w:lineRule="exact"/>
              <w:jc w:val="center"/>
              <w:rPr>
                <w:rFonts w:ascii="宋体" w:hAnsi="宋体"/>
                <w:sz w:val="21"/>
                <w:szCs w:val="21"/>
              </w:rPr>
            </w:pPr>
            <w:r>
              <w:rPr>
                <w:rFonts w:hint="eastAsia" w:ascii="宋体" w:hAnsi="宋体"/>
                <w:sz w:val="21"/>
                <w:szCs w:val="21"/>
              </w:rPr>
              <w:t>市本级</w:t>
            </w:r>
          </w:p>
        </w:tc>
        <w:tc>
          <w:tcPr>
            <w:tcW w:w="6521" w:type="dxa"/>
            <w:vAlign w:val="center"/>
          </w:tcPr>
          <w:p w14:paraId="35554FEB">
            <w:pPr>
              <w:spacing w:line="580" w:lineRule="exact"/>
              <w:rPr>
                <w:rFonts w:ascii="宋体" w:hAnsi="宋体"/>
                <w:sz w:val="21"/>
                <w:szCs w:val="21"/>
              </w:rPr>
            </w:pPr>
            <w:r>
              <w:rPr>
                <w:rFonts w:hint="eastAsia" w:ascii="宋体" w:hAnsi="宋体"/>
                <w:sz w:val="21"/>
                <w:szCs w:val="21"/>
              </w:rPr>
              <w:t>泰安市市民之家一楼东区社保、医保大厅A21-A28窗口</w:t>
            </w:r>
          </w:p>
        </w:tc>
        <w:tc>
          <w:tcPr>
            <w:tcW w:w="1239" w:type="dxa"/>
            <w:vAlign w:val="center"/>
          </w:tcPr>
          <w:p w14:paraId="5BD0623C">
            <w:pPr>
              <w:spacing w:line="580" w:lineRule="exact"/>
              <w:jc w:val="center"/>
              <w:rPr>
                <w:rFonts w:ascii="宋体" w:hAnsi="宋体"/>
                <w:sz w:val="21"/>
                <w:szCs w:val="21"/>
              </w:rPr>
            </w:pPr>
            <w:r>
              <w:rPr>
                <w:rFonts w:hint="eastAsia" w:ascii="宋体" w:hAnsi="宋体"/>
                <w:sz w:val="21"/>
                <w:szCs w:val="21"/>
              </w:rPr>
              <w:t>6991419</w:t>
            </w:r>
          </w:p>
        </w:tc>
      </w:tr>
      <w:tr w14:paraId="7245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38C1AA">
            <w:pPr>
              <w:spacing w:line="580" w:lineRule="exact"/>
              <w:jc w:val="center"/>
              <w:rPr>
                <w:rFonts w:ascii="宋体" w:hAnsi="宋体"/>
                <w:sz w:val="21"/>
                <w:szCs w:val="21"/>
              </w:rPr>
            </w:pPr>
            <w:r>
              <w:rPr>
                <w:rFonts w:hint="eastAsia" w:ascii="宋体" w:hAnsi="宋体"/>
                <w:sz w:val="21"/>
                <w:szCs w:val="21"/>
              </w:rPr>
              <w:t>泰山区</w:t>
            </w:r>
          </w:p>
        </w:tc>
        <w:tc>
          <w:tcPr>
            <w:tcW w:w="6521" w:type="dxa"/>
            <w:vAlign w:val="center"/>
          </w:tcPr>
          <w:p w14:paraId="0B363E12">
            <w:pPr>
              <w:spacing w:line="400" w:lineRule="exact"/>
              <w:ind w:right="318"/>
              <w:rPr>
                <w:rFonts w:ascii="宋体" w:hAnsi="宋体"/>
                <w:sz w:val="21"/>
                <w:szCs w:val="21"/>
              </w:rPr>
            </w:pPr>
            <w:r>
              <w:rPr>
                <w:rFonts w:hint="eastAsia" w:ascii="宋体" w:hAnsi="宋体"/>
                <w:sz w:val="21"/>
                <w:szCs w:val="21"/>
              </w:rPr>
              <w:t>泰安市东岳大街16号泰山区人力资源和社会保障局分厅2号窗口</w:t>
            </w:r>
          </w:p>
        </w:tc>
        <w:tc>
          <w:tcPr>
            <w:tcW w:w="1239" w:type="dxa"/>
            <w:vAlign w:val="center"/>
          </w:tcPr>
          <w:p w14:paraId="7C62EC8F">
            <w:pPr>
              <w:spacing w:line="580" w:lineRule="exact"/>
              <w:jc w:val="center"/>
              <w:rPr>
                <w:rFonts w:hint="default" w:ascii="宋体" w:hAnsi="宋体" w:eastAsiaTheme="minorEastAsia"/>
                <w:sz w:val="21"/>
                <w:szCs w:val="21"/>
                <w:lang w:val="en-US" w:eastAsia="zh-CN"/>
              </w:rPr>
            </w:pPr>
            <w:r>
              <w:rPr>
                <w:rFonts w:hint="eastAsia" w:ascii="宋体" w:hAnsi="宋体"/>
                <w:sz w:val="21"/>
                <w:szCs w:val="21"/>
                <w:lang w:val="en-US" w:eastAsia="zh-CN"/>
              </w:rPr>
              <w:t>8330952</w:t>
            </w:r>
          </w:p>
        </w:tc>
      </w:tr>
      <w:tr w14:paraId="199A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6D41370">
            <w:pPr>
              <w:spacing w:line="580" w:lineRule="exact"/>
              <w:jc w:val="center"/>
              <w:rPr>
                <w:rFonts w:ascii="宋体" w:hAnsi="宋体"/>
                <w:sz w:val="21"/>
                <w:szCs w:val="21"/>
              </w:rPr>
            </w:pPr>
            <w:r>
              <w:rPr>
                <w:rFonts w:hint="eastAsia" w:ascii="宋体" w:hAnsi="宋体"/>
                <w:sz w:val="21"/>
                <w:szCs w:val="21"/>
              </w:rPr>
              <w:t>岱岳区</w:t>
            </w:r>
          </w:p>
        </w:tc>
        <w:tc>
          <w:tcPr>
            <w:tcW w:w="6521" w:type="dxa"/>
            <w:vAlign w:val="center"/>
          </w:tcPr>
          <w:p w14:paraId="4421D71D">
            <w:pPr>
              <w:spacing w:line="580" w:lineRule="exact"/>
              <w:rPr>
                <w:rFonts w:ascii="宋体" w:hAnsi="宋体"/>
                <w:sz w:val="21"/>
                <w:szCs w:val="21"/>
              </w:rPr>
            </w:pPr>
            <w:r>
              <w:rPr>
                <w:rFonts w:ascii="宋体" w:hAnsi="宋体"/>
                <w:sz w:val="21"/>
                <w:szCs w:val="21"/>
              </w:rPr>
              <w:t>泰安市岱岳区政务服务中心3</w:t>
            </w:r>
            <w:r>
              <w:rPr>
                <w:rFonts w:hint="eastAsia" w:ascii="宋体" w:hAnsi="宋体"/>
                <w:sz w:val="21"/>
                <w:szCs w:val="21"/>
              </w:rPr>
              <w:t>10</w:t>
            </w:r>
            <w:r>
              <w:rPr>
                <w:rFonts w:ascii="宋体" w:hAnsi="宋体"/>
                <w:sz w:val="21"/>
                <w:szCs w:val="21"/>
              </w:rPr>
              <w:t>室</w:t>
            </w:r>
          </w:p>
        </w:tc>
        <w:tc>
          <w:tcPr>
            <w:tcW w:w="1239" w:type="dxa"/>
            <w:vAlign w:val="center"/>
          </w:tcPr>
          <w:p w14:paraId="504A92A6">
            <w:pPr>
              <w:spacing w:line="580" w:lineRule="exact"/>
              <w:jc w:val="center"/>
              <w:rPr>
                <w:rFonts w:ascii="宋体" w:hAnsi="宋体"/>
                <w:sz w:val="21"/>
                <w:szCs w:val="21"/>
              </w:rPr>
            </w:pPr>
            <w:r>
              <w:rPr>
                <w:rFonts w:ascii="宋体" w:hAnsi="宋体"/>
                <w:sz w:val="21"/>
                <w:szCs w:val="21"/>
              </w:rPr>
              <w:t>8562172</w:t>
            </w:r>
          </w:p>
        </w:tc>
      </w:tr>
      <w:tr w14:paraId="4F40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C48D9C3">
            <w:pPr>
              <w:spacing w:line="580" w:lineRule="exact"/>
              <w:jc w:val="center"/>
              <w:rPr>
                <w:rFonts w:ascii="宋体" w:hAnsi="宋体"/>
                <w:sz w:val="21"/>
                <w:szCs w:val="21"/>
              </w:rPr>
            </w:pPr>
            <w:r>
              <w:rPr>
                <w:rFonts w:hint="eastAsia" w:ascii="宋体" w:hAnsi="宋体"/>
                <w:sz w:val="21"/>
                <w:szCs w:val="21"/>
              </w:rPr>
              <w:t>新泰市</w:t>
            </w:r>
          </w:p>
        </w:tc>
        <w:tc>
          <w:tcPr>
            <w:tcW w:w="6521" w:type="dxa"/>
            <w:vAlign w:val="center"/>
          </w:tcPr>
          <w:p w14:paraId="3D28B751">
            <w:pPr>
              <w:spacing w:line="580" w:lineRule="exact"/>
              <w:rPr>
                <w:rFonts w:ascii="宋体" w:hAnsi="宋体"/>
                <w:sz w:val="21"/>
                <w:szCs w:val="21"/>
              </w:rPr>
            </w:pPr>
            <w:r>
              <w:rPr>
                <w:rFonts w:ascii="宋体" w:hAnsi="宋体"/>
                <w:sz w:val="21"/>
                <w:szCs w:val="21"/>
              </w:rPr>
              <w:t>新泰市府前街1559号劳动大厦四楼社会保险科</w:t>
            </w:r>
          </w:p>
        </w:tc>
        <w:tc>
          <w:tcPr>
            <w:tcW w:w="1239" w:type="dxa"/>
            <w:vAlign w:val="center"/>
          </w:tcPr>
          <w:p w14:paraId="3A186138">
            <w:pPr>
              <w:spacing w:line="580" w:lineRule="exact"/>
              <w:jc w:val="center"/>
              <w:rPr>
                <w:rFonts w:ascii="宋体" w:hAnsi="宋体"/>
                <w:sz w:val="21"/>
                <w:szCs w:val="21"/>
              </w:rPr>
            </w:pPr>
            <w:r>
              <w:rPr>
                <w:rFonts w:ascii="宋体" w:hAnsi="宋体"/>
                <w:sz w:val="21"/>
                <w:szCs w:val="21"/>
              </w:rPr>
              <w:t>7239679</w:t>
            </w:r>
          </w:p>
        </w:tc>
      </w:tr>
      <w:tr w14:paraId="4264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B0B08D2">
            <w:pPr>
              <w:spacing w:line="580" w:lineRule="exact"/>
              <w:jc w:val="center"/>
              <w:rPr>
                <w:rFonts w:ascii="宋体" w:hAnsi="宋体"/>
                <w:sz w:val="21"/>
                <w:szCs w:val="21"/>
              </w:rPr>
            </w:pPr>
            <w:r>
              <w:rPr>
                <w:rFonts w:hint="eastAsia" w:ascii="宋体" w:hAnsi="宋体"/>
                <w:sz w:val="21"/>
                <w:szCs w:val="21"/>
              </w:rPr>
              <w:t>肥城市</w:t>
            </w:r>
          </w:p>
        </w:tc>
        <w:tc>
          <w:tcPr>
            <w:tcW w:w="6521" w:type="dxa"/>
            <w:vAlign w:val="center"/>
          </w:tcPr>
          <w:p w14:paraId="7D21E007">
            <w:pPr>
              <w:spacing w:line="580" w:lineRule="exact"/>
              <w:rPr>
                <w:rFonts w:ascii="宋体" w:hAnsi="宋体"/>
                <w:sz w:val="21"/>
                <w:szCs w:val="21"/>
              </w:rPr>
            </w:pPr>
            <w:r>
              <w:rPr>
                <w:rFonts w:ascii="宋体" w:hAnsi="宋体"/>
                <w:sz w:val="21"/>
                <w:szCs w:val="21"/>
              </w:rPr>
              <w:t>肥城市龙山路西首三农大厦313室</w:t>
            </w:r>
          </w:p>
        </w:tc>
        <w:tc>
          <w:tcPr>
            <w:tcW w:w="1239" w:type="dxa"/>
            <w:vAlign w:val="center"/>
          </w:tcPr>
          <w:p w14:paraId="22C8C5DB">
            <w:pPr>
              <w:spacing w:line="580" w:lineRule="exact"/>
              <w:jc w:val="center"/>
              <w:rPr>
                <w:rFonts w:ascii="宋体" w:hAnsi="宋体"/>
                <w:sz w:val="21"/>
                <w:szCs w:val="21"/>
              </w:rPr>
            </w:pPr>
            <w:r>
              <w:rPr>
                <w:rFonts w:ascii="宋体" w:hAnsi="宋体"/>
                <w:sz w:val="21"/>
                <w:szCs w:val="21"/>
              </w:rPr>
              <w:t>3283619</w:t>
            </w:r>
          </w:p>
        </w:tc>
      </w:tr>
      <w:tr w14:paraId="1040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A7684B0">
            <w:pPr>
              <w:spacing w:line="580" w:lineRule="exact"/>
              <w:jc w:val="center"/>
              <w:rPr>
                <w:rFonts w:ascii="宋体" w:hAnsi="宋体"/>
                <w:sz w:val="21"/>
                <w:szCs w:val="21"/>
              </w:rPr>
            </w:pPr>
            <w:r>
              <w:rPr>
                <w:rFonts w:hint="eastAsia" w:ascii="宋体" w:hAnsi="宋体"/>
                <w:sz w:val="21"/>
                <w:szCs w:val="21"/>
              </w:rPr>
              <w:t>宁阳县</w:t>
            </w:r>
          </w:p>
        </w:tc>
        <w:tc>
          <w:tcPr>
            <w:tcW w:w="6521" w:type="dxa"/>
            <w:vAlign w:val="center"/>
          </w:tcPr>
          <w:p w14:paraId="585E7387">
            <w:pPr>
              <w:spacing w:line="580" w:lineRule="exact"/>
              <w:rPr>
                <w:rFonts w:ascii="宋体" w:hAnsi="宋体"/>
                <w:sz w:val="21"/>
                <w:szCs w:val="21"/>
              </w:rPr>
            </w:pPr>
            <w:r>
              <w:rPr>
                <w:rFonts w:ascii="宋体" w:hAnsi="宋体"/>
                <w:sz w:val="21"/>
                <w:szCs w:val="21"/>
              </w:rPr>
              <w:t>宁阳县长寿路264号人社局工伤认定科</w:t>
            </w:r>
          </w:p>
        </w:tc>
        <w:tc>
          <w:tcPr>
            <w:tcW w:w="1239" w:type="dxa"/>
            <w:vAlign w:val="center"/>
          </w:tcPr>
          <w:p w14:paraId="15E5F67C">
            <w:pPr>
              <w:spacing w:line="580" w:lineRule="exact"/>
              <w:jc w:val="center"/>
              <w:rPr>
                <w:rFonts w:ascii="宋体" w:hAnsi="宋体"/>
                <w:sz w:val="21"/>
                <w:szCs w:val="21"/>
              </w:rPr>
            </w:pPr>
            <w:r>
              <w:rPr>
                <w:rFonts w:hint="eastAsia" w:ascii="宋体" w:hAnsi="宋体"/>
                <w:sz w:val="21"/>
                <w:szCs w:val="21"/>
              </w:rPr>
              <w:t>5625199</w:t>
            </w:r>
          </w:p>
        </w:tc>
      </w:tr>
      <w:tr w14:paraId="1CE2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D63D468">
            <w:pPr>
              <w:spacing w:line="580" w:lineRule="exact"/>
              <w:jc w:val="center"/>
              <w:rPr>
                <w:rFonts w:ascii="宋体" w:hAnsi="宋体"/>
                <w:sz w:val="21"/>
                <w:szCs w:val="21"/>
              </w:rPr>
            </w:pPr>
            <w:r>
              <w:rPr>
                <w:rFonts w:hint="eastAsia" w:ascii="宋体" w:hAnsi="宋体"/>
                <w:sz w:val="21"/>
                <w:szCs w:val="21"/>
              </w:rPr>
              <w:t>东平县</w:t>
            </w:r>
          </w:p>
        </w:tc>
        <w:tc>
          <w:tcPr>
            <w:tcW w:w="6521" w:type="dxa"/>
            <w:vAlign w:val="center"/>
          </w:tcPr>
          <w:p w14:paraId="55B730E6">
            <w:pPr>
              <w:spacing w:line="580" w:lineRule="exact"/>
              <w:rPr>
                <w:rFonts w:ascii="宋体" w:hAnsi="宋体"/>
                <w:sz w:val="21"/>
                <w:szCs w:val="21"/>
              </w:rPr>
            </w:pPr>
            <w:r>
              <w:rPr>
                <w:rFonts w:ascii="宋体" w:hAnsi="宋体"/>
                <w:sz w:val="21"/>
                <w:szCs w:val="21"/>
              </w:rPr>
              <w:t>东平县政务服务大厅</w:t>
            </w:r>
            <w:r>
              <w:rPr>
                <w:rFonts w:hint="eastAsia" w:ascii="宋体" w:hAnsi="宋体"/>
                <w:sz w:val="21"/>
                <w:szCs w:val="21"/>
              </w:rPr>
              <w:t>一楼37、38</w:t>
            </w:r>
            <w:r>
              <w:rPr>
                <w:rFonts w:ascii="宋体" w:hAnsi="宋体"/>
                <w:sz w:val="21"/>
                <w:szCs w:val="21"/>
              </w:rPr>
              <w:t>号窗口</w:t>
            </w:r>
          </w:p>
        </w:tc>
        <w:tc>
          <w:tcPr>
            <w:tcW w:w="1239" w:type="dxa"/>
            <w:vAlign w:val="center"/>
          </w:tcPr>
          <w:p w14:paraId="3AE7F7FC">
            <w:pPr>
              <w:spacing w:line="580" w:lineRule="exact"/>
              <w:jc w:val="center"/>
              <w:rPr>
                <w:rFonts w:ascii="宋体" w:hAnsi="宋体"/>
                <w:sz w:val="21"/>
                <w:szCs w:val="21"/>
              </w:rPr>
            </w:pPr>
            <w:r>
              <w:rPr>
                <w:rFonts w:ascii="宋体" w:hAnsi="宋体"/>
                <w:sz w:val="21"/>
                <w:szCs w:val="21"/>
              </w:rPr>
              <w:t>2855803</w:t>
            </w:r>
          </w:p>
        </w:tc>
      </w:tr>
      <w:tr w14:paraId="3247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6A7D53ED">
            <w:pPr>
              <w:spacing w:line="580" w:lineRule="exact"/>
              <w:jc w:val="center"/>
              <w:rPr>
                <w:rFonts w:ascii="宋体" w:hAnsi="宋体"/>
                <w:sz w:val="21"/>
                <w:szCs w:val="21"/>
              </w:rPr>
            </w:pPr>
            <w:r>
              <w:rPr>
                <w:rFonts w:hint="eastAsia" w:ascii="宋体" w:hAnsi="宋体"/>
                <w:sz w:val="21"/>
                <w:szCs w:val="21"/>
              </w:rPr>
              <w:t>高新区</w:t>
            </w:r>
          </w:p>
        </w:tc>
        <w:tc>
          <w:tcPr>
            <w:tcW w:w="6521" w:type="dxa"/>
            <w:vAlign w:val="center"/>
          </w:tcPr>
          <w:p w14:paraId="64533251">
            <w:pPr>
              <w:spacing w:line="580" w:lineRule="exact"/>
              <w:rPr>
                <w:rFonts w:ascii="宋体" w:hAnsi="宋体"/>
                <w:sz w:val="21"/>
                <w:szCs w:val="21"/>
              </w:rPr>
            </w:pPr>
            <w:r>
              <w:rPr>
                <w:rFonts w:ascii="宋体" w:hAnsi="宋体"/>
                <w:sz w:val="21"/>
                <w:szCs w:val="21"/>
              </w:rPr>
              <w:t>泰安</w:t>
            </w:r>
            <w:r>
              <w:rPr>
                <w:rFonts w:hint="eastAsia" w:ascii="宋体" w:hAnsi="宋体"/>
                <w:sz w:val="21"/>
                <w:szCs w:val="21"/>
              </w:rPr>
              <w:t>高新区政务服务中心A06窗口</w:t>
            </w:r>
          </w:p>
        </w:tc>
        <w:tc>
          <w:tcPr>
            <w:tcW w:w="1239" w:type="dxa"/>
            <w:vAlign w:val="center"/>
          </w:tcPr>
          <w:p w14:paraId="6C0B8C9F">
            <w:pPr>
              <w:spacing w:line="580" w:lineRule="exact"/>
              <w:jc w:val="center"/>
              <w:rPr>
                <w:rFonts w:ascii="宋体" w:hAnsi="宋体"/>
                <w:sz w:val="21"/>
                <w:szCs w:val="21"/>
              </w:rPr>
            </w:pPr>
            <w:r>
              <w:rPr>
                <w:rFonts w:ascii="宋体" w:hAnsi="宋体"/>
                <w:sz w:val="21"/>
                <w:szCs w:val="21"/>
              </w:rPr>
              <w:t>8938281</w:t>
            </w:r>
          </w:p>
        </w:tc>
      </w:tr>
    </w:tbl>
    <w:p w14:paraId="7DEA9E71">
      <w:pPr>
        <w:spacing w:line="340" w:lineRule="exact"/>
        <w:ind w:right="2526" w:rightChars="1203" w:firstLine="424" w:firstLineChars="202"/>
        <w:jc w:val="right"/>
      </w:pPr>
    </w:p>
    <w:sectPr>
      <w:pgSz w:w="11906" w:h="16838"/>
      <w:pgMar w:top="720" w:right="720" w:bottom="426"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汉仪书宋二S">
    <w:altName w:val="宋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F24C4"/>
    <w:multiLevelType w:val="singleLevel"/>
    <w:tmpl w:val="53FF24C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820"/>
    <w:rsid w:val="000554D2"/>
    <w:rsid w:val="0006796E"/>
    <w:rsid w:val="00452EAF"/>
    <w:rsid w:val="006360D2"/>
    <w:rsid w:val="0072095E"/>
    <w:rsid w:val="007344FB"/>
    <w:rsid w:val="007400D7"/>
    <w:rsid w:val="007417AF"/>
    <w:rsid w:val="007514CD"/>
    <w:rsid w:val="0087228D"/>
    <w:rsid w:val="00885B26"/>
    <w:rsid w:val="0093709D"/>
    <w:rsid w:val="00B535B5"/>
    <w:rsid w:val="00B716A8"/>
    <w:rsid w:val="00B82054"/>
    <w:rsid w:val="00C55165"/>
    <w:rsid w:val="00D032A5"/>
    <w:rsid w:val="00D04BEC"/>
    <w:rsid w:val="00DC22C7"/>
    <w:rsid w:val="00DC79CA"/>
    <w:rsid w:val="00DF57B8"/>
    <w:rsid w:val="00E45873"/>
    <w:rsid w:val="00F23820"/>
    <w:rsid w:val="00FA2E49"/>
    <w:rsid w:val="00FF7B76"/>
    <w:rsid w:val="049F2605"/>
    <w:rsid w:val="1FF3E61B"/>
    <w:rsid w:val="3E7D7BB7"/>
    <w:rsid w:val="4FB739D1"/>
    <w:rsid w:val="5B7FC254"/>
    <w:rsid w:val="606F1C67"/>
    <w:rsid w:val="661E63CF"/>
    <w:rsid w:val="66FD53EF"/>
    <w:rsid w:val="78FE79AB"/>
    <w:rsid w:val="7AAB4F34"/>
    <w:rsid w:val="7F6F6776"/>
    <w:rsid w:val="7FA7F201"/>
    <w:rsid w:val="B7FBF55F"/>
    <w:rsid w:val="BDF67280"/>
    <w:rsid w:val="BFA766BE"/>
    <w:rsid w:val="BFFF457C"/>
    <w:rsid w:val="E7B19F9E"/>
    <w:rsid w:val="F23FE567"/>
    <w:rsid w:val="FBDB9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9"/>
    <w:pPr>
      <w:spacing w:beforeAutospacing="1" w:afterAutospacing="1"/>
      <w:jc w:val="left"/>
      <w:outlineLvl w:val="2"/>
    </w:pPr>
    <w:rPr>
      <w:rFonts w:ascii="宋体" w:hAnsi="宋体" w:cs="宋体"/>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semiHidden/>
    <w:qFormat/>
    <w:uiPriority w:val="99"/>
    <w:rPr>
      <w:sz w:val="18"/>
      <w:szCs w:val="18"/>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1814</Words>
  <Characters>1906</Characters>
  <Lines>10</Lines>
  <Paragraphs>2</Paragraphs>
  <TotalTime>7</TotalTime>
  <ScaleCrop>false</ScaleCrop>
  <LinksUpToDate>false</LinksUpToDate>
  <CharactersWithSpaces>1907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2021-12-03T17:49:00Z</dcterms:created>
  <dc:creator>admin</dc:creator>
  <cp:lastModifiedBy>Administrator</cp:lastModifiedBy>
  <cp:lastPrinted>2019-07-25T23:12:00Z</cp:lastPrinted>
  <dcterms:modified xsi:type="dcterms:W3CDTF">2025-02-28T03:46:06Z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eyJoZGlkIjoiZTNhZmQ5OTI1ZjBmYTFiNWUxNmY3Y2JhNzI2MTNmMWEifQ==</vt:lpwstr>
  </property>
  <property fmtid="{D5CDD505-2E9C-101B-9397-08002B2CF9AE}" pid="4" name="ICV">
    <vt:lpwstr>DC0946B06F4549F1A2C70959768AD040_12</vt:lpwstr>
  </property>
</Properties>
</file>