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rPr>
          <w:rFonts w:hint="eastAsia" w:ascii="宋体" w:hAnsi="宋体" w:eastAsia="宋体" w:cs="宋体"/>
          <w:sz w:val="44"/>
          <w:szCs w:val="44"/>
        </w:rPr>
      </w:pPr>
      <w:r>
        <w:rPr>
          <w:rFonts w:hint="eastAsia" w:ascii="宋体" w:hAnsi="宋体" w:eastAsia="宋体" w:cs="宋体"/>
          <w:sz w:val="44"/>
          <w:szCs w:val="44"/>
          <w:bdr w:val="none" w:color="auto" w:sz="0" w:space="0"/>
        </w:rPr>
        <w:t>泰山政办发〔2019〕6号</w:t>
      </w:r>
    </w:p>
    <w:p>
      <w:pPr>
        <w:pStyle w:val="2"/>
        <w:keepNext w:val="0"/>
        <w:keepLines w:val="0"/>
        <w:widowControl/>
        <w:suppressLineNumbers w:val="0"/>
        <w:ind w:left="0" w:firstLine="420"/>
        <w:jc w:val="center"/>
        <w:rPr>
          <w:rFonts w:hint="eastAsia" w:ascii="宋体" w:hAnsi="宋体" w:eastAsia="宋体" w:cs="宋体"/>
          <w:sz w:val="44"/>
          <w:szCs w:val="44"/>
        </w:rPr>
      </w:pPr>
      <w:r>
        <w:rPr>
          <w:rFonts w:hint="eastAsia" w:ascii="宋体" w:hAnsi="宋体" w:eastAsia="宋体" w:cs="宋体"/>
          <w:sz w:val="44"/>
          <w:szCs w:val="44"/>
          <w:bdr w:val="none" w:color="auto" w:sz="0" w:space="0"/>
        </w:rPr>
        <w:t>泰安市泰山区人民政府办公室</w:t>
      </w:r>
    </w:p>
    <w:p>
      <w:pPr>
        <w:pStyle w:val="2"/>
        <w:keepNext w:val="0"/>
        <w:keepLines w:val="0"/>
        <w:widowControl/>
        <w:suppressLineNumbers w:val="0"/>
        <w:ind w:left="0" w:firstLine="420"/>
        <w:jc w:val="center"/>
        <w:rPr>
          <w:rFonts w:hint="eastAsia" w:ascii="宋体" w:hAnsi="宋体" w:eastAsia="宋体" w:cs="宋体"/>
          <w:sz w:val="44"/>
          <w:szCs w:val="44"/>
        </w:rPr>
      </w:pPr>
      <w:r>
        <w:rPr>
          <w:rFonts w:hint="eastAsia" w:ascii="宋体" w:hAnsi="宋体" w:eastAsia="宋体" w:cs="宋体"/>
          <w:sz w:val="44"/>
          <w:szCs w:val="44"/>
          <w:bdr w:val="none" w:color="auto" w:sz="0" w:space="0"/>
        </w:rPr>
        <w:t>关于印发《泰山区农村道路“三通”工程建设实施方案》的通知</w:t>
      </w: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各街道办事处、镇人民政府，区政府有关部门：</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《泰山区农村道路“三通”工程建设实施方案》已经区政府研究同意，现印发给你们，请认真贯彻执行。</w:t>
      </w:r>
    </w:p>
    <w:p>
      <w:pPr>
        <w:pStyle w:val="2"/>
        <w:keepNext w:val="0"/>
        <w:keepLines w:val="0"/>
        <w:widowControl/>
        <w:suppressLineNumbers w:val="0"/>
        <w:ind w:left="0" w:firstLine="420"/>
        <w:jc w:val="right"/>
        <w:rPr>
          <w:rFonts w:hint="eastAsia" w:ascii="仿宋" w:hAnsi="仿宋" w:eastAsia="仿宋" w:cs="仿宋"/>
          <w:sz w:val="32"/>
          <w:szCs w:val="32"/>
        </w:rPr>
      </w:pPr>
      <w:r>
        <w:rPr>
          <w:rFonts w:hint="eastAsia" w:ascii="仿宋" w:hAnsi="仿宋" w:eastAsia="仿宋" w:cs="仿宋"/>
          <w:sz w:val="32"/>
          <w:szCs w:val="32"/>
          <w:bdr w:val="none" w:color="auto" w:sz="0" w:space="0"/>
        </w:rPr>
        <w:t>泰安市泰山区人民政府办公室</w:t>
      </w:r>
    </w:p>
    <w:p>
      <w:pPr>
        <w:pStyle w:val="2"/>
        <w:keepNext w:val="0"/>
        <w:keepLines w:val="0"/>
        <w:widowControl/>
        <w:suppressLineNumbers w:val="0"/>
        <w:ind w:left="0" w:firstLine="420"/>
        <w:jc w:val="right"/>
        <w:rPr>
          <w:rFonts w:hint="eastAsia" w:ascii="仿宋" w:hAnsi="仿宋" w:eastAsia="仿宋" w:cs="仿宋"/>
          <w:sz w:val="32"/>
          <w:szCs w:val="32"/>
        </w:rPr>
      </w:pPr>
      <w:r>
        <w:rPr>
          <w:rFonts w:hint="eastAsia" w:ascii="仿宋" w:hAnsi="仿宋" w:eastAsia="仿宋" w:cs="仿宋"/>
          <w:sz w:val="32"/>
          <w:szCs w:val="32"/>
          <w:bdr w:val="none" w:color="auto" w:sz="0" w:space="0"/>
        </w:rPr>
        <w:t>2019年10月14日</w:t>
      </w:r>
    </w:p>
    <w:p>
      <w:pPr>
        <w:pStyle w:val="2"/>
        <w:keepNext w:val="0"/>
        <w:keepLines w:val="0"/>
        <w:widowControl/>
        <w:suppressLineNumbers w:val="0"/>
        <w:ind w:left="0" w:firstLine="420"/>
        <w:jc w:val="center"/>
        <w:rPr>
          <w:rFonts w:hint="eastAsia" w:ascii="黑体" w:hAnsi="黑体" w:eastAsia="黑体" w:cs="黑体"/>
          <w:sz w:val="32"/>
          <w:szCs w:val="32"/>
        </w:rPr>
      </w:pPr>
      <w:r>
        <w:rPr>
          <w:rFonts w:hint="eastAsia" w:ascii="黑体" w:hAnsi="黑体" w:eastAsia="黑体" w:cs="黑体"/>
          <w:sz w:val="32"/>
          <w:szCs w:val="32"/>
          <w:bdr w:val="none" w:color="auto" w:sz="0" w:space="0"/>
        </w:rPr>
        <w:t>泰山区农村道路“三通”工程建设实施方案</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为深入贯彻落实乡村振兴战略，全面完成农村道路“三通”（村村通、巷巷通、户户通）工程建设任务目标，不断提升农村出行环境，结合我区实际，制定本方案。</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楷体" w:hAnsi="楷体" w:eastAsia="楷体" w:cs="楷体"/>
          <w:sz w:val="32"/>
          <w:szCs w:val="32"/>
          <w:bdr w:val="none" w:color="auto" w:sz="0" w:space="0"/>
        </w:rPr>
        <w:t>一、总体要求</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以习近平新时代中国特色社会主义思想为指导，深入贯彻落实党的十九大精神和习近平总书记关于山东实施乡村振兴战略的重要指示精神，顺应广大人民群众美好生活新期待，以改善农村居住环境、提高农民群众生活质量为出发点，以推进道路硬化、分布实施的原则，结合“四好农村路”建设，实施农村道路“三通”工程，为打造新时代美丽、生态、宜居、幸福村庄提供坚强的交通保障。</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bdr w:val="none" w:color="auto" w:sz="0" w:space="0"/>
        </w:rPr>
        <w:t>二、建设范围</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除近五年纳入搬迁、撤村并点和已纳入城区建设规划的村庄外，全区范围内符合城乡发展规划的31个行政村全部纳入“三通”实施范围，对分散居住，离行政村村民聚集地较远的住户，有条件的逐步实施“三通”建设。</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楷体" w:hAnsi="楷体" w:eastAsia="楷体" w:cs="楷体"/>
          <w:sz w:val="32"/>
          <w:szCs w:val="32"/>
          <w:bdr w:val="none" w:color="auto" w:sz="0" w:space="0"/>
        </w:rPr>
        <w:t>三、任务目标</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结合省、市“四好农村路”和“农村人居环境整治”等有关要求，2019年，23个纳入全区“三通”实施范围的行政村，达到“三通”建设标准。到2020年，8个纳入全区“三通”实施范围的行政村，达到“三通”建设标准，全区农村基本实现户户通。</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bdr w:val="none" w:color="auto" w:sz="0" w:space="0"/>
        </w:rPr>
        <w:t>四、建设标准</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实施农村道路“三通”工程，实现“村村通”“巷巷通”“户户通”，包括需新建或改造的穿村道路、村内主街、村内街巷、通户道路硬化，并同步设置排水、安全防护等设施。</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（一）行政村“三通”标准</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按照实现“巷巷通”“户户通”比例为主要评价指标，分别明确A、B、C三类行政村农村道路“三通”建设评价标准。其中A类村为精品样板村，B类村为示范村，C类村为达标村,“巷巷通”“户户通”比例分别达到100%、90%、80%（见附表），验收评分分别达到不低于95分、90分、75分。</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（二）“三通”道路建设标准</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根据道路定位、通行功能等不同，推荐以下建设标准：</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穿村道路、村内主街。通行普通机动车道路，路面宽度一般不低于4米，采用不低于18厘米厚水泥混凝土路面或不低于5厘米厚沥青混凝土路面（需设置碎石类刚性基层）。涉及占用农用地的，不得占用永久基本农田，路面宽度标准不低于2米，不宽于8米，路面宽度大于8米的项目，按照相关要求办理土地手续。</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巷巷通”道路。通行微型、小型车辆道路，路面宽度根据实际情况确定，一般采用不低于12厘米厚水泥混凝土路面，也可采用不低于3厘米厚沥青混凝土路面（需设置碎石类基层）或其他类型路面结构（宽度低于3米的，可适当降低建设标准）。</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3.“户户通”道路。通行行人、非机动车道路，路面宽度根据实际情况确定。按照因地制宜、就地取材的原则，结合旅游村、生态村、宜居村等不同定位，倡导采用砖、石板、块石、鹅卵石、人行道板、透水砖等多样化硬化形式。</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4.附属设施和管理养护。按照因地制宜原则设置排水设施，与主体工程同步实施、同步投入使用。结合村庄规划提前做好给排水、强弱电等管网、线网预埋等工作，设置必要的交通标牌、爆闪灯、信号灯等安全防护设施。有条件的可同步实施绿化、亮化工程，提升农村整体环境。对建成后的“三通”道路，由当地政府纳入管理养护范围，建立管理养护长效机制。</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5.质量要求。新改建水泥（沥青）混凝土路面强度、平整度、厚度、表观质量等质量指标符合《公路工程质量检验评定标准》（JTG F80-1-2017）要求；其他类型路面应平整、密实。</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6.扬尘防治要求。严格控制道路施工过程中的扬尘污染，实行分段施工，配套湿扫式清扫车、高压冲洗车、高压雾炮车等设备，施工现场物料运输车禁止超高装载、密闭不严、不冲洗或冲洗不到位、带土带泥上路。</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bdr w:val="none" w:color="auto" w:sz="0" w:space="0"/>
        </w:rPr>
        <w:t>五、资金筹集</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按照事权和支出责任划分原则，构建以市级奖补为引导、县乡投入为主体、村委会和社会资金参与为重要补充的多渠道资金筹集机制。</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一）争取市级奖补资金。市财政采取以奖代补方式，以行政村为单位，综合考虑村庄大小、人口规模等因素，确定奖补标准。对A类村一般每村奖励30-50万元，B类村一般每村奖励15-25万元，C类村一般每村奖励10-15万元。对纳入先行先试、乡村振兴示范区范围的村、扶贫工作重点村、市派第一书记帮扶村、特殊山区村，在验收达到相应类别基础上，额外给予不低于10%的资金奖励，各类奖励政策不重复享受。市级奖补资金按照“先建后补、多干多得、先干先得”的原则，根据任务完成情况，分期分批开展验收奖励，优先保障干的快、干的好的县市区。</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（二）加大区级财政投入。按照《泰安市乡村振兴工作领导小组办公室  关于印发〈泰安市美丽乡村示范村创建实施意见〉等5个实施意见的通知》（泰乡振办〔2019〕4号）文件要求，区政府从土地出让金收益（2%-3%）筹集1000万元专项资金，用于“三通”建设，并按照市级奖补标准等额分配资金。各乡镇要充分利用涉农资金整合政策，统筹资金向“三通”建设倾斜，保障“三通”工程建设。</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三）争取上级政策资金。财政、住建、交通运输、农业农村等部门要认真研究农业农村政策，积极争取上级的政策、资金和项目支持，围绕农村基础设施建设和环境综合整治等投资重点，主动加强与中央、省、市有关部门的对接，努力争取更多支持。</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四）积极筹措社会资金。鼓励因地制宜、就地取材、采取多样化道路铺装形式，降低工程建设造价。引导、规范“一事一议”筹资筹劳行为，完善“村民出工、县（乡）出资”机制，调动村民参与积极性。创新市场化运营模式，充分利用道路冠名权、路侧资源开发权、绿化权等市场化方式，进一步拓宽投融资渠道。</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bdr w:val="none" w:color="auto" w:sz="0" w:space="0"/>
        </w:rPr>
        <w:t>六、考核验收</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（一）验收内容。验收以“巷巷通”“户户通”为主，还包括“村村通”（“四好农村路”建设）、通村公路、主次街道、管理养护等四个方面内容。</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二）验收组织。农村道路“三通”工程整村完成后，由乡镇进行自查，自查合格后向区交通运输局申请验收，区交通运输局委托第三方机构进行初步验收。验收合格后报市级综合验收，市级将成立由市直有关部门组成的联合验收组，并视情委托第三方机构进行验收。</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三）验收评价。综合验收结束后，联合验收组按照年度A、B类村分配比例，按照优选原则研究确定A、B类村候选名单，候选名单公示无异议后，确定为相应类别村。C类村，是指A、B类村以外，巷巷通、户户通比例达80%以上，验收评分75分以上，不作名额限制。</w:t>
      </w:r>
    </w:p>
    <w:p>
      <w:pPr>
        <w:pStyle w:val="2"/>
        <w:keepNext w:val="0"/>
        <w:keepLines w:val="0"/>
        <w:widowControl/>
        <w:suppressLineNumbers w:val="0"/>
        <w:ind w:left="0" w:firstLine="420"/>
        <w:jc w:val="left"/>
        <w:rPr>
          <w:rFonts w:hint="eastAsia" w:ascii="楷体" w:hAnsi="楷体" w:eastAsia="楷体" w:cs="楷体"/>
          <w:sz w:val="32"/>
          <w:szCs w:val="32"/>
        </w:rPr>
      </w:pPr>
      <w:bookmarkStart w:id="0" w:name="_GoBack"/>
      <w:r>
        <w:rPr>
          <w:rFonts w:hint="eastAsia" w:ascii="楷体" w:hAnsi="楷体" w:eastAsia="楷体" w:cs="楷体"/>
          <w:sz w:val="32"/>
          <w:szCs w:val="32"/>
          <w:bdr w:val="none" w:color="auto" w:sz="0" w:space="0"/>
        </w:rPr>
        <w:t>七、保障措施</w:t>
      </w:r>
    </w:p>
    <w:bookmarkEnd w:id="0"/>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一）强化组织领导。区政府成立“三通”建设工作专班，专班办公室设在区交通运输局，负责统筹推进农村道路“三通”建设工作。乡镇政府要抽调精兵强将，成立“三通”建设专班，具体抓“三通”建设，确保各项任务目标落实、落地。</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二）强调部门联动。区交通运输局作为牵头部门，负责“三通”建设的计划编制、技术指导、协调调度，牵头负责道路建设过程中扬尘防治，牵头组织监督检查和考核验收等工作。区公安分局负责依法打击垄断砂石等料霸行为，维护工程建设环境。区财政局负责研究制定加大投入的政策措施，做好区级奖补资金筹集、涉农资金整合支持“三通”工程等工作。区住建局负责协调做好村镇建设管理与“三通”工程的衔接等工作。区规划服务中心负责协调做好城镇、村相关规划与“三通”工程的衔接等工作。区综合行政执法局负责协调做好城乡环卫一体化等工作。区农业农村局负责统筹协调乡村振兴、扶贫与“三通”工程的衔接工作。区自然资源局、区生态环境分局、水利、林业等部门做好各自职责范围内与“三通”工程的协调、衔接、配合等工作。各乡镇是农村道路“三通”工程的实施主体，具体负责调查摸底、组织实施等工作，确保按时完成目标任务，严格落实属地管理，做好道路建设中的扬尘防治。</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三）严格监督考核。区委、区政府将“三通”工作作为重要督查事项，不断加强考核、监督检查力度，建立定期调度和通报制度。采取实地巡查、第三方机构评估、随机抽查暗访等方式，对各乡镇“三通”建设政策落实、建设进度、质量安全、资金到位等情况进行全面督导检查。</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四）开展示范创建。实行“典型引领、示范带动”，结合创建“四好农村路”示范乡镇、示范村、美丽乡村、乡村振兴示范片区活动，在全区范围内开展精品示范村、示范片区创建。2019年，选取邱家店镇开展试点，并从中选取14个村率先实施。到2020年，在全区范围内打造1个“三通”精品示范乡镇、10个A类精品样板村、21个B类示范村。</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五）加强技术指导。交通运输主管部门牵头组织专业技术人员深入乡镇、村施工现场，指导乡镇、村科学制定“三通”规划，优化建设方案，合理确定建设标准，对路面原材料控制、施工工艺等质量控制要点、附属设施建设进行技术指导服务，确保工程质量，并督促同步实施排水等必要附属设施，避免重复建设。</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六）注重宣传引导。充分利用网络、报刊等载体，大力宣传农村道路“三通”建设政策和建设成果，充分调动广大农村群众建设热情，动员社会各界力量参与到活动中来，营造群众参与、社会各界支持的良好氛围。</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附件：农村道路“三通”建设分类评价标准</w:t>
      </w:r>
    </w:p>
    <w:p>
      <w:pPr>
        <w:pStyle w:val="2"/>
        <w:keepNext w:val="0"/>
        <w:keepLines w:val="0"/>
        <w:widowControl/>
        <w:suppressLineNumbers w:val="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drawing>
          <wp:inline distT="0" distB="0" distL="114300" distR="114300">
            <wp:extent cx="5686425" cy="190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86425" cy="19050"/>
                    </a:xfrm>
                    <a:prstGeom prst="rect">
                      <a:avLst/>
                    </a:prstGeom>
                    <a:noFill/>
                    <a:ln w="9525">
                      <a:noFill/>
                    </a:ln>
                  </pic:spPr>
                </pic:pic>
              </a:graphicData>
            </a:graphic>
          </wp:inline>
        </w:drawing>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抄送：区委各部门，区人大常委会办公室，区政协办公室，区监委，</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区法院，区检察院，区人武部。</w:t>
      </w:r>
    </w:p>
    <w:p>
      <w:pPr>
        <w:pStyle w:val="2"/>
        <w:keepNext w:val="0"/>
        <w:keepLines w:val="0"/>
        <w:widowControl/>
        <w:suppressLineNumbers w:val="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drawing>
          <wp:inline distT="0" distB="0" distL="114300" distR="114300">
            <wp:extent cx="5686425" cy="190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5686425" cy="19050"/>
                    </a:xfrm>
                    <a:prstGeom prst="rect">
                      <a:avLst/>
                    </a:prstGeom>
                    <a:noFill/>
                    <a:ln w="9525">
                      <a:noFill/>
                    </a:ln>
                  </pic:spPr>
                </pic:pic>
              </a:graphicData>
            </a:graphic>
          </wp:inline>
        </w:drawing>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泰安市泰山区人民政府办公室              2019年10月14日印发</w:t>
      </w:r>
    </w:p>
    <w:p>
      <w:pPr>
        <w:pStyle w:val="2"/>
        <w:keepNext w:val="0"/>
        <w:keepLines w:val="0"/>
        <w:widowControl/>
        <w:suppressLineNumbers w:val="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drawing>
          <wp:inline distT="0" distB="0" distL="114300" distR="114300">
            <wp:extent cx="5695950" cy="190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5695950" cy="19050"/>
                    </a:xfrm>
                    <a:prstGeom prst="rect">
                      <a:avLst/>
                    </a:prstGeom>
                    <a:noFill/>
                    <a:ln w="9525">
                      <a:noFill/>
                    </a:ln>
                  </pic:spPr>
                </pic:pic>
              </a:graphicData>
            </a:graphic>
          </wp:inline>
        </w:drawing>
      </w:r>
    </w:p>
    <w:p>
      <w:pPr>
        <w:pStyle w:val="2"/>
        <w:keepNext w:val="0"/>
        <w:keepLines w:val="0"/>
        <w:widowControl/>
        <w:suppressLineNumbers w:val="0"/>
        <w:ind w:left="0" w:firstLine="420"/>
        <w:jc w:val="left"/>
        <w:rPr>
          <w:rFonts w:hint="eastAsia" w:ascii="仿宋" w:hAnsi="仿宋" w:eastAsia="仿宋" w:cs="仿宋"/>
          <w:sz w:val="32"/>
          <w:szCs w:val="32"/>
        </w:rPr>
      </w:pP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附件</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农村道路“三通”建设分类评价标准</w:t>
      </w:r>
    </w:p>
    <w:tbl>
      <w:tblPr>
        <w:tblW w:w="0" w:type="auto"/>
        <w:jc w:val="center"/>
        <w:shd w:val="clear"/>
        <w:tblLayout w:type="autofit"/>
        <w:tblCellMar>
          <w:top w:w="0" w:type="dxa"/>
          <w:left w:w="0" w:type="dxa"/>
          <w:bottom w:w="0" w:type="dxa"/>
          <w:right w:w="0" w:type="dxa"/>
        </w:tblCellMar>
      </w:tblPr>
      <w:tblGrid>
        <w:gridCol w:w="939"/>
        <w:gridCol w:w="5211"/>
        <w:gridCol w:w="1539"/>
        <w:gridCol w:w="730"/>
      </w:tblGrid>
      <w:tr>
        <w:tblPrEx>
          <w:shd w:val="clear"/>
        </w:tblPrEx>
        <w:trPr>
          <w:trHeight w:val="630" w:hRule="atLeast"/>
          <w:jc w:val="center"/>
        </w:trPr>
        <w:tc>
          <w:tcPr>
            <w:tcW w:w="1050" w:type="dxa"/>
            <w:tcBorders>
              <w:top w:val="single" w:color="000000" w:sz="6" w:space="0"/>
              <w:left w:val="single" w:color="000000" w:sz="6" w:space="0"/>
              <w:bottom w:val="single" w:color="000000" w:sz="6" w:space="0"/>
              <w:right w:val="single" w:color="000000" w:sz="6" w:space="0"/>
            </w:tcBorders>
            <w:shd w:val="clear"/>
            <w:tcMar>
              <w:top w:w="15" w:type="dxa"/>
              <w:left w:w="105"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类别</w:t>
            </w:r>
          </w:p>
        </w:tc>
        <w:tc>
          <w:tcPr>
            <w:tcW w:w="12810" w:type="dxa"/>
            <w:gridSpan w:val="2"/>
            <w:tcBorders>
              <w:top w:val="single" w:color="000000" w:sz="6" w:space="0"/>
              <w:left w:val="nil"/>
              <w:bottom w:val="single" w:color="000000" w:sz="6" w:space="0"/>
              <w:right w:val="single" w:color="auto" w:sz="6" w:space="0"/>
            </w:tcBorders>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评价标准</w:t>
            </w:r>
          </w:p>
        </w:tc>
        <w:tc>
          <w:tcPr>
            <w:tcW w:w="1215" w:type="dxa"/>
            <w:tcBorders>
              <w:top w:val="single" w:color="000000" w:sz="6" w:space="0"/>
              <w:left w:val="nil"/>
              <w:bottom w:val="single" w:color="000000" w:sz="6" w:space="0"/>
              <w:right w:val="single" w:color="000000" w:sz="6" w:space="0"/>
            </w:tcBorders>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得分</w:t>
            </w:r>
          </w:p>
        </w:tc>
      </w:tr>
      <w:tr>
        <w:tblPrEx>
          <w:tblCellMar>
            <w:top w:w="0" w:type="dxa"/>
            <w:left w:w="0" w:type="dxa"/>
            <w:bottom w:w="0" w:type="dxa"/>
            <w:right w:w="0" w:type="dxa"/>
          </w:tblCellMar>
        </w:tblPrEx>
        <w:trPr>
          <w:trHeight w:val="2551" w:hRule="atLeast"/>
          <w:jc w:val="center"/>
        </w:trPr>
        <w:tc>
          <w:tcPr>
            <w:tcW w:w="1050" w:type="dxa"/>
            <w:tcBorders>
              <w:top w:val="nil"/>
              <w:left w:val="single" w:color="000000" w:sz="6" w:space="0"/>
              <w:bottom w:val="single" w:color="000000" w:sz="6" w:space="0"/>
              <w:right w:val="single" w:color="000000" w:sz="6" w:space="0"/>
            </w:tcBorders>
            <w:shd w:val="clear"/>
            <w:tcMar>
              <w:top w:w="15" w:type="dxa"/>
              <w:left w:w="105"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A类：</w:t>
            </w: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精品样板村</w:t>
            </w:r>
          </w:p>
        </w:tc>
        <w:tc>
          <w:tcPr>
            <w:tcW w:w="10185" w:type="dxa"/>
            <w:tcBorders>
              <w:top w:val="nil"/>
              <w:left w:val="nil"/>
              <w:bottom w:val="single" w:color="000000" w:sz="6" w:space="0"/>
              <w:right w:val="single" w:color="000000" w:sz="6" w:space="0"/>
            </w:tcBorders>
            <w:shd w:val="clear"/>
            <w:tcMar>
              <w:top w:w="15" w:type="dxa"/>
              <w:left w:w="105"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完成“四好农村路”年度建设任务（10分）；至少有一条路面宽度达6米以上双车道通村或穿村公路；受地形等不能克服或难以克服的因素制约的，应至少有一条路面宽度达4米以上通村或穿村公路, 因地制宜设置排水、绿化和必要安保、客运站点等设施（10分）；村内主、次要街道硬化率100%，有必要排水、绿化、美化、亮化等设施（20分）；巷巷通、户户通达到100%，因地制宜设置排水沟（40分）；新改建道路质量优良（10分）；建立管理养护长效机制（10分）。</w:t>
            </w:r>
          </w:p>
        </w:tc>
        <w:tc>
          <w:tcPr>
            <w:tcW w:w="2625" w:type="dxa"/>
            <w:tcBorders>
              <w:top w:val="nil"/>
              <w:left w:val="nil"/>
              <w:bottom w:val="single" w:color="000000" w:sz="6" w:space="0"/>
              <w:right w:val="single" w:color="auto" w:sz="6" w:space="0"/>
            </w:tcBorders>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得分95分以上。2019年以来新实施道路硬化里程或面积应占全部已硬化里程或面积的40%以上。优中选优</w:t>
            </w:r>
          </w:p>
        </w:tc>
        <w:tc>
          <w:tcPr>
            <w:tcW w:w="1215" w:type="dxa"/>
            <w:tcBorders>
              <w:top w:val="nil"/>
              <w:left w:val="nil"/>
              <w:bottom w:val="single" w:color="000000" w:sz="6" w:space="0"/>
              <w:right w:val="single" w:color="000000" w:sz="6" w:space="0"/>
            </w:tcBorders>
            <w:shd w:val="clear"/>
            <w:vAlign w:val="top"/>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rPr>
          <w:trHeight w:val="1936" w:hRule="atLeast"/>
          <w:jc w:val="center"/>
        </w:trPr>
        <w:tc>
          <w:tcPr>
            <w:tcW w:w="1050" w:type="dxa"/>
            <w:tcBorders>
              <w:top w:val="nil"/>
              <w:left w:val="single" w:color="000000" w:sz="6" w:space="0"/>
              <w:bottom w:val="single" w:color="000000" w:sz="6" w:space="0"/>
              <w:right w:val="single" w:color="000000" w:sz="6" w:space="0"/>
            </w:tcBorders>
            <w:shd w:val="clear"/>
            <w:tcMar>
              <w:top w:w="15" w:type="dxa"/>
              <w:left w:w="105"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B类：</w:t>
            </w: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示范村</w:t>
            </w:r>
          </w:p>
        </w:tc>
        <w:tc>
          <w:tcPr>
            <w:tcW w:w="10185" w:type="dxa"/>
            <w:tcBorders>
              <w:top w:val="nil"/>
              <w:left w:val="nil"/>
              <w:bottom w:val="single" w:color="000000" w:sz="6" w:space="0"/>
              <w:right w:val="single" w:color="000000" w:sz="6" w:space="0"/>
            </w:tcBorders>
            <w:shd w:val="clear"/>
            <w:tcMar>
              <w:top w:w="15" w:type="dxa"/>
              <w:left w:w="105"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完成“四好农村路”年度建设任务（10分）；至少有一条路面宽度达4米以上通村或穿村公路, 因地制宜设置排水、绿化和必要安保、客运站点等设施（10分）；村内主、次要街道硬化率100%，有必要排水、绿化、美化等设施（20分）；巷巷通、户户通达到90%及以上，因地制宜设置排水沟（40分）；新改建道路质量优良（10分）；建立管理养护长效机制（10分）。</w:t>
            </w:r>
          </w:p>
        </w:tc>
        <w:tc>
          <w:tcPr>
            <w:tcW w:w="2625" w:type="dxa"/>
            <w:tcBorders>
              <w:top w:val="nil"/>
              <w:left w:val="nil"/>
              <w:bottom w:val="single" w:color="000000" w:sz="6" w:space="0"/>
              <w:right w:val="single" w:color="auto" w:sz="6" w:space="0"/>
            </w:tcBorders>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得分90分以上。2019年以来新实施硬化里程或面积应占全部已硬化里程或面积的30%以上。优中选优</w:t>
            </w:r>
          </w:p>
        </w:tc>
        <w:tc>
          <w:tcPr>
            <w:tcW w:w="1215" w:type="dxa"/>
            <w:tcBorders>
              <w:top w:val="nil"/>
              <w:left w:val="nil"/>
              <w:bottom w:val="single" w:color="000000" w:sz="6" w:space="0"/>
              <w:right w:val="single" w:color="000000" w:sz="6" w:space="0"/>
            </w:tcBorders>
            <w:shd w:val="clear"/>
            <w:vAlign w:val="top"/>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rPr>
          <w:trHeight w:val="1906" w:hRule="atLeast"/>
          <w:jc w:val="center"/>
        </w:trPr>
        <w:tc>
          <w:tcPr>
            <w:tcW w:w="1050" w:type="dxa"/>
            <w:tcBorders>
              <w:top w:val="nil"/>
              <w:left w:val="single" w:color="000000" w:sz="6" w:space="0"/>
              <w:bottom w:val="single" w:color="000000" w:sz="6" w:space="0"/>
              <w:right w:val="single" w:color="000000" w:sz="6" w:space="0"/>
            </w:tcBorders>
            <w:shd w:val="clear"/>
            <w:tcMar>
              <w:top w:w="15" w:type="dxa"/>
              <w:left w:w="105"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C类：</w:t>
            </w: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达标村</w:t>
            </w:r>
          </w:p>
        </w:tc>
        <w:tc>
          <w:tcPr>
            <w:tcW w:w="10185" w:type="dxa"/>
            <w:tcBorders>
              <w:top w:val="nil"/>
              <w:left w:val="nil"/>
              <w:bottom w:val="single" w:color="000000" w:sz="6" w:space="0"/>
              <w:right w:val="single" w:color="000000" w:sz="6" w:space="0"/>
            </w:tcBorders>
            <w:shd w:val="clear"/>
            <w:tcMar>
              <w:top w:w="15" w:type="dxa"/>
              <w:left w:w="105"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完成“四好农村路”年度建设任务（10分）；至少有一条路面宽度达4米以上通村或穿村公路, 因地制宜设置排水、绿化和必要安保、客运站点等设施（10分）；村内主要街道硬化率100%，有必要排水、绿化设施（20分）；巷巷通、户户通达到80%及以上，因地制宜设置排水沟（40分）；新改建道路质量合格（10分）；建立管理养护长效机制（10分）。</w:t>
            </w:r>
          </w:p>
        </w:tc>
        <w:tc>
          <w:tcPr>
            <w:tcW w:w="2625" w:type="dxa"/>
            <w:tcBorders>
              <w:top w:val="nil"/>
              <w:left w:val="nil"/>
              <w:bottom w:val="single" w:color="000000" w:sz="6" w:space="0"/>
              <w:right w:val="single" w:color="auto" w:sz="6" w:space="0"/>
            </w:tcBorders>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得分75分以上</w:t>
            </w:r>
          </w:p>
        </w:tc>
        <w:tc>
          <w:tcPr>
            <w:tcW w:w="1215" w:type="dxa"/>
            <w:tcBorders>
              <w:top w:val="nil"/>
              <w:left w:val="nil"/>
              <w:bottom w:val="single" w:color="000000" w:sz="6" w:space="0"/>
              <w:right w:val="single" w:color="000000" w:sz="6" w:space="0"/>
            </w:tcBorders>
            <w:shd w:val="clear"/>
            <w:vAlign w:val="top"/>
          </w:tcPr>
          <w:p>
            <w:pPr>
              <w:keepNext w:val="0"/>
              <w:keepLines w:val="0"/>
              <w:widowControl/>
              <w:suppressLineNumbers w:val="0"/>
              <w:jc w:val="left"/>
              <w:rPr>
                <w:rFonts w:hint="eastAsia" w:ascii="仿宋" w:hAnsi="仿宋" w:eastAsia="仿宋" w:cs="仿宋"/>
                <w:sz w:val="32"/>
                <w:szCs w:val="32"/>
              </w:rPr>
            </w:pPr>
          </w:p>
        </w:tc>
      </w:tr>
    </w:tbl>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D4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2020-12-11T03:13:40Z</dcterms:created>
  <dc:creator>Administrator</dc:creator>
  <cp:lastModifiedBy>@永♥恒@</cp:lastModifiedBy>
  <dcterms:modified xsi:type="dcterms:W3CDTF">2020-12-11T03:15:09Z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