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仿宋_GB2312" w:hAnsi="仿宋_GB2312" w:eastAsia="仿宋_GB2312" w:cs="仿宋_GB2312"/>
          <w:sz w:val="32"/>
          <w:szCs w:val="32"/>
          <w:lang w:val="en-US" w:eastAsia="zh-CN"/>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泰山政办发〔2021〕9号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435" w:firstLineChars="100"/>
        <w:jc w:val="center"/>
        <w:textAlignment w:val="auto"/>
        <w:rPr>
          <w:rFonts w:eastAsia="方正小标宋简体"/>
          <w:sz w:val="44"/>
          <w:szCs w:val="44"/>
        </w:rPr>
      </w:pPr>
      <w:r>
        <w:rPr>
          <w:rFonts w:hint="eastAsia" w:eastAsia="方正小标宋简体"/>
          <w:sz w:val="44"/>
          <w:szCs w:val="44"/>
          <w:lang w:eastAsia="zh-CN"/>
        </w:rPr>
        <w:t>泰安市</w:t>
      </w:r>
      <w:r>
        <w:rPr>
          <w:rFonts w:hint="eastAsia" w:eastAsia="方正小标宋简体"/>
          <w:sz w:val="44"/>
          <w:szCs w:val="44"/>
        </w:rPr>
        <w:t>泰山区人民政府办公室</w:t>
      </w:r>
    </w:p>
    <w:p>
      <w:pPr>
        <w:keepNext w:val="0"/>
        <w:keepLines w:val="0"/>
        <w:pageBreakBefore w:val="0"/>
        <w:widowControl w:val="0"/>
        <w:kinsoku/>
        <w:wordWrap/>
        <w:overflowPunct/>
        <w:topLinePunct w:val="0"/>
        <w:autoSpaceDE/>
        <w:autoSpaceDN/>
        <w:bidi w:val="0"/>
        <w:adjustRightInd/>
        <w:snapToGrid w:val="0"/>
        <w:spacing w:line="560" w:lineRule="exact"/>
        <w:ind w:firstLine="435" w:firstLineChars="100"/>
        <w:jc w:val="center"/>
        <w:textAlignment w:val="auto"/>
        <w:rPr>
          <w:rFonts w:hint="eastAsia" w:eastAsia="方正小标宋简体"/>
          <w:sz w:val="44"/>
          <w:szCs w:val="44"/>
        </w:rPr>
      </w:pPr>
      <w:r>
        <w:rPr>
          <w:rFonts w:hint="eastAsia" w:eastAsia="方正小标宋简体"/>
          <w:sz w:val="44"/>
          <w:szCs w:val="44"/>
        </w:rPr>
        <w:t>关于印发《泰山区创建全省县域养老服务</w:t>
      </w:r>
    </w:p>
    <w:p>
      <w:pPr>
        <w:keepNext w:val="0"/>
        <w:keepLines w:val="0"/>
        <w:pageBreakBefore w:val="0"/>
        <w:widowControl w:val="0"/>
        <w:kinsoku/>
        <w:wordWrap/>
        <w:overflowPunct/>
        <w:topLinePunct w:val="0"/>
        <w:autoSpaceDE/>
        <w:autoSpaceDN/>
        <w:bidi w:val="0"/>
        <w:adjustRightInd/>
        <w:snapToGrid w:val="0"/>
        <w:spacing w:line="560" w:lineRule="exact"/>
        <w:ind w:firstLine="435" w:firstLineChars="100"/>
        <w:jc w:val="center"/>
        <w:textAlignment w:val="auto"/>
        <w:rPr>
          <w:rStyle w:val="15"/>
          <w:rFonts w:ascii="Times New Roman" w:hAnsi="Times New Roman" w:eastAsia="仿宋_GB2312"/>
          <w:sz w:val="32"/>
          <w:szCs w:val="32"/>
        </w:rPr>
      </w:pPr>
      <w:r>
        <w:rPr>
          <w:rFonts w:hint="eastAsia" w:eastAsia="方正小标宋简体"/>
          <w:sz w:val="44"/>
          <w:szCs w:val="44"/>
        </w:rPr>
        <w:t>体系创新示范区实施方案》的通知</w:t>
      </w:r>
    </w:p>
    <w:p>
      <w:pPr>
        <w:keepNext w:val="0"/>
        <w:keepLines w:val="0"/>
        <w:pageBreakBefore w:val="0"/>
        <w:widowControl w:val="0"/>
        <w:kinsoku/>
        <w:wordWrap/>
        <w:overflowPunct/>
        <w:topLinePunct w:val="0"/>
        <w:autoSpaceDE/>
        <w:autoSpaceDN/>
        <w:bidi w:val="0"/>
        <w:adjustRightInd/>
        <w:snapToGrid w:val="0"/>
        <w:spacing w:line="560" w:lineRule="exact"/>
        <w:ind w:firstLine="630" w:firstLineChars="200"/>
        <w:jc w:val="left"/>
        <w:textAlignment w:val="auto"/>
        <w:rPr>
          <w:rStyle w:val="15"/>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各街道办事处</w:t>
      </w:r>
      <w:r>
        <w:rPr>
          <w:rStyle w:val="15"/>
          <w:rFonts w:hint="eastAsia" w:ascii="仿宋_GB2312" w:hAnsi="仿宋_GB2312" w:eastAsia="仿宋_GB2312" w:cs="仿宋_GB2312"/>
          <w:sz w:val="32"/>
          <w:szCs w:val="32"/>
          <w:lang w:eastAsia="zh-CN"/>
        </w:rPr>
        <w:t>、</w:t>
      </w:r>
      <w:r>
        <w:rPr>
          <w:rStyle w:val="15"/>
          <w:rFonts w:hint="eastAsia" w:ascii="仿宋_GB2312" w:hAnsi="仿宋_GB2312" w:eastAsia="仿宋_GB2312" w:cs="仿宋_GB2312"/>
          <w:sz w:val="32"/>
          <w:szCs w:val="32"/>
        </w:rPr>
        <w:t>镇人民政府，区政府</w:t>
      </w:r>
      <w:r>
        <w:rPr>
          <w:rStyle w:val="15"/>
          <w:rFonts w:hint="eastAsia" w:ascii="仿宋_GB2312" w:hAnsi="仿宋_GB2312" w:eastAsia="仿宋_GB2312" w:cs="仿宋_GB2312"/>
          <w:sz w:val="32"/>
          <w:szCs w:val="32"/>
          <w:lang w:eastAsia="zh-CN"/>
        </w:rPr>
        <w:t>有关</w:t>
      </w:r>
      <w:r>
        <w:rPr>
          <w:rStyle w:val="15"/>
          <w:rFonts w:hint="eastAsia" w:ascii="仿宋_GB2312" w:hAnsi="仿宋_GB2312" w:eastAsia="仿宋_GB2312" w:cs="仿宋_GB2312"/>
          <w:sz w:val="32"/>
          <w:szCs w:val="32"/>
        </w:rPr>
        <w:t>部门：</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63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《泰山区创建全省县域养老服务体系创新示范区实施方案》已经区政府同意，现印发给你们，请认真组织实施。</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615"/>
        <w:jc w:val="right"/>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pacing w:line="560" w:lineRule="exact"/>
        <w:ind w:left="0" w:leftChars="0" w:firstLine="615"/>
        <w:jc w:val="right"/>
        <w:textAlignment w:val="auto"/>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pacing w:line="560" w:lineRule="exact"/>
        <w:ind w:right="471"/>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泰安市</w:t>
      </w:r>
      <w:r>
        <w:rPr>
          <w:rFonts w:hint="eastAsia" w:ascii="仿宋_GB2312" w:hAnsi="仿宋_GB2312" w:eastAsia="仿宋_GB2312" w:cs="仿宋_GB2312"/>
          <w:sz w:val="32"/>
          <w:szCs w:val="32"/>
        </w:rPr>
        <w:t>泰山区人民政府办公室</w:t>
      </w:r>
    </w:p>
    <w:p>
      <w:pPr>
        <w:pStyle w:val="2"/>
        <w:keepNext w:val="0"/>
        <w:keepLines w:val="0"/>
        <w:pageBreakBefore w:val="0"/>
        <w:widowControl w:val="0"/>
        <w:kinsoku/>
        <w:wordWrap/>
        <w:overflowPunct/>
        <w:topLinePunct w:val="0"/>
        <w:autoSpaceDE/>
        <w:autoSpaceDN/>
        <w:bidi w:val="0"/>
        <w:adjustRightInd/>
        <w:spacing w:line="560" w:lineRule="exact"/>
        <w:ind w:right="471"/>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2021年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val="0"/>
        <w:spacing w:line="560" w:lineRule="exact"/>
        <w:ind w:firstLine="630" w:firstLineChars="200"/>
        <w:textAlignment w:val="auto"/>
        <w:rPr>
          <w:rStyle w:val="15"/>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3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eastAsia="方正小标宋简体"/>
          <w:sz w:val="44"/>
          <w:szCs w:val="44"/>
        </w:rPr>
      </w:pPr>
      <w:r>
        <w:rPr>
          <w:rFonts w:hint="eastAsia" w:eastAsia="方正小标宋简体"/>
          <w:sz w:val="44"/>
          <w:szCs w:val="44"/>
        </w:rPr>
        <w:t>泰山区创建全省县域养老服务体系创新示范区</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eastAsia="方正小标宋简体"/>
          <w:sz w:val="44"/>
          <w:szCs w:val="44"/>
        </w:rPr>
      </w:pPr>
      <w:r>
        <w:rPr>
          <w:rFonts w:hint="eastAsia" w:eastAsia="方正小标宋简体"/>
          <w:sz w:val="44"/>
          <w:szCs w:val="44"/>
        </w:rPr>
        <w:t>实  施  方  案</w:t>
      </w:r>
    </w:p>
    <w:p>
      <w:pPr>
        <w:keepNext w:val="0"/>
        <w:keepLines w:val="0"/>
        <w:pageBreakBefore w:val="0"/>
        <w:widowControl w:val="0"/>
        <w:kinsoku/>
        <w:wordWrap/>
        <w:overflowPunct/>
        <w:topLinePunct w:val="0"/>
        <w:autoSpaceDE/>
        <w:autoSpaceDN/>
        <w:bidi w:val="0"/>
        <w:adjustRightInd/>
        <w:snapToGrid w:val="0"/>
        <w:spacing w:line="600" w:lineRule="exact"/>
        <w:ind w:firstLine="870" w:firstLineChars="200"/>
        <w:textAlignment w:val="auto"/>
        <w:rPr>
          <w:rFonts w:eastAsia="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600" w:lineRule="exact"/>
        <w:ind w:firstLine="630" w:firstLineChars="200"/>
        <w:textAlignment w:val="auto"/>
        <w:rPr>
          <w:rFonts w:eastAsia="黑体"/>
          <w:sz w:val="32"/>
          <w:szCs w:val="32"/>
        </w:rPr>
      </w:pPr>
      <w:r>
        <w:rPr>
          <w:rStyle w:val="15"/>
          <w:rFonts w:hint="eastAsia" w:ascii="仿宋_GB2312" w:hAnsi="仿宋_GB2312" w:eastAsia="仿宋_GB2312" w:cs="仿宋_GB2312"/>
          <w:sz w:val="32"/>
          <w:szCs w:val="32"/>
        </w:rPr>
        <w:t>为实施积极应对人口老龄化国家战略，夯实筑牢我区养老基础，整体有效解决县域养老问题，促进我区养老服务体系创新</w:t>
      </w:r>
      <w:r>
        <w:rPr>
          <w:rFonts w:hint="eastAsia" w:ascii="仿宋_GB2312" w:hAnsi="仿宋_GB2312" w:eastAsia="仿宋_GB2312" w:cs="仿宋_GB2312"/>
          <w:sz w:val="32"/>
          <w:szCs w:val="32"/>
        </w:rPr>
        <w:t>，扩大有效服务供给，根据《山东省民政厅山东省财政厅关于创建县域养老服务体系创新示范县（市、区）的通知》（鲁民〔2021〕64号）要求，结合泰山区实际，</w:t>
      </w:r>
      <w:r>
        <w:rPr>
          <w:rStyle w:val="15"/>
          <w:rFonts w:hint="eastAsia" w:ascii="仿宋_GB2312" w:hAnsi="仿宋_GB2312" w:eastAsia="仿宋_GB2312" w:cs="仿宋_GB2312"/>
          <w:sz w:val="32"/>
          <w:szCs w:val="32"/>
        </w:rPr>
        <w:t>制定本方案。</w:t>
      </w:r>
    </w:p>
    <w:p>
      <w:pPr>
        <w:keepNext w:val="0"/>
        <w:keepLines w:val="0"/>
        <w:pageBreakBefore w:val="0"/>
        <w:widowControl w:val="0"/>
        <w:numPr>
          <w:ilvl w:val="0"/>
          <w:numId w:val="2"/>
        </w:numPr>
        <w:kinsoku/>
        <w:wordWrap/>
        <w:overflowPunct/>
        <w:topLinePunct w:val="0"/>
        <w:autoSpaceDE/>
        <w:autoSpaceDN/>
        <w:bidi w:val="0"/>
        <w:adjustRightInd/>
        <w:snapToGrid w:val="0"/>
        <w:spacing w:line="600" w:lineRule="exact"/>
        <w:textAlignment w:val="auto"/>
        <w:rPr>
          <w:rFonts w:eastAsia="黑体"/>
          <w:sz w:val="32"/>
          <w:szCs w:val="32"/>
        </w:rPr>
      </w:pPr>
      <w:r>
        <w:rPr>
          <w:rFonts w:hint="eastAsia" w:eastAsia="黑体"/>
          <w:sz w:val="32"/>
          <w:szCs w:val="32"/>
        </w:rPr>
        <w:t>总体要求</w:t>
      </w:r>
    </w:p>
    <w:p>
      <w:pPr>
        <w:keepNext w:val="0"/>
        <w:keepLines w:val="0"/>
        <w:pageBreakBefore w:val="0"/>
        <w:widowControl w:val="0"/>
        <w:kinsoku/>
        <w:wordWrap/>
        <w:overflowPunct/>
        <w:topLinePunct w:val="0"/>
        <w:autoSpaceDE/>
        <w:autoSpaceDN/>
        <w:bidi w:val="0"/>
        <w:adjustRightInd/>
        <w:snapToGrid w:val="0"/>
        <w:spacing w:line="600" w:lineRule="exact"/>
        <w:ind w:firstLine="630" w:firstLineChars="200"/>
        <w:textAlignment w:val="auto"/>
        <w:rPr>
          <w:rFonts w:eastAsia="仿宋_GB2312"/>
          <w:sz w:val="32"/>
          <w:szCs w:val="32"/>
        </w:rPr>
      </w:pPr>
      <w:r>
        <w:rPr>
          <w:rFonts w:hint="eastAsia" w:eastAsia="仿宋_GB2312"/>
          <w:sz w:val="32"/>
          <w:szCs w:val="32"/>
        </w:rPr>
        <w:t>坚持</w:t>
      </w:r>
      <w:r>
        <w:rPr>
          <w:rFonts w:eastAsia="仿宋_GB2312"/>
          <w:sz w:val="32"/>
          <w:szCs w:val="32"/>
        </w:rPr>
        <w:t>以习近平新时代中国特色社会主义思想为指导，</w:t>
      </w:r>
      <w:r>
        <w:rPr>
          <w:rFonts w:hint="eastAsia" w:eastAsia="仿宋_GB2312"/>
          <w:sz w:val="32"/>
          <w:szCs w:val="32"/>
        </w:rPr>
        <w:t>围绕实施积极应对人口老龄化国家战略，</w:t>
      </w:r>
      <w:r>
        <w:rPr>
          <w:rFonts w:eastAsia="仿宋_GB2312"/>
          <w:sz w:val="32"/>
          <w:szCs w:val="32"/>
        </w:rPr>
        <w:t>坚持以人民为中心，构建以</w:t>
      </w:r>
      <w:r>
        <w:rPr>
          <w:rFonts w:hint="eastAsia" w:eastAsia="仿宋_GB2312"/>
          <w:sz w:val="32"/>
          <w:szCs w:val="32"/>
        </w:rPr>
        <w:t>区</w:t>
      </w:r>
      <w:r>
        <w:rPr>
          <w:rFonts w:eastAsia="仿宋_GB2312"/>
          <w:sz w:val="32"/>
          <w:szCs w:val="32"/>
        </w:rPr>
        <w:t>域为单元的系统化、可持续、可复制的</w:t>
      </w:r>
      <w:r>
        <w:rPr>
          <w:rFonts w:hint="eastAsia" w:eastAsia="仿宋_GB2312"/>
          <w:sz w:val="32"/>
          <w:szCs w:val="32"/>
        </w:rPr>
        <w:t>县域</w:t>
      </w:r>
      <w:r>
        <w:rPr>
          <w:rFonts w:eastAsia="仿宋_GB2312"/>
          <w:sz w:val="32"/>
          <w:szCs w:val="32"/>
        </w:rPr>
        <w:t>养老服务</w:t>
      </w:r>
      <w:r>
        <w:rPr>
          <w:rFonts w:hint="eastAsia" w:eastAsia="仿宋_GB2312"/>
          <w:sz w:val="32"/>
          <w:szCs w:val="32"/>
        </w:rPr>
        <w:t>体系</w:t>
      </w:r>
      <w:r>
        <w:rPr>
          <w:rFonts w:eastAsia="仿宋_GB2312"/>
          <w:sz w:val="32"/>
          <w:szCs w:val="32"/>
        </w:rPr>
        <w:t>，</w:t>
      </w:r>
      <w:r>
        <w:rPr>
          <w:rFonts w:hint="eastAsia" w:eastAsia="仿宋_GB2312"/>
          <w:sz w:val="32"/>
          <w:szCs w:val="32"/>
        </w:rPr>
        <w:t>强化组织领导，整合要素资源，突出改革集成，扩大有效服务供给，不断满足日益增长的多样化、多层次养老服务需求，积极探索社区居家养老、智慧养老、旅居养老等产业发展新模式，培育一批创新型养老企业，建设康养福地，引领全省养老服务</w:t>
      </w:r>
      <w:r>
        <w:rPr>
          <w:rFonts w:hint="eastAsia" w:eastAsia="仿宋_GB2312"/>
          <w:sz w:val="32"/>
          <w:szCs w:val="32"/>
          <w:lang w:eastAsia="zh-CN"/>
        </w:rPr>
        <w:t>向</w:t>
      </w:r>
      <w:r>
        <w:rPr>
          <w:rFonts w:hint="eastAsia" w:eastAsia="仿宋_GB2312"/>
          <w:sz w:val="32"/>
          <w:szCs w:val="32"/>
        </w:rPr>
        <w:t>更高质量发展。</w:t>
      </w:r>
    </w:p>
    <w:p>
      <w:pPr>
        <w:keepNext w:val="0"/>
        <w:keepLines w:val="0"/>
        <w:pageBreakBefore w:val="0"/>
        <w:widowControl w:val="0"/>
        <w:numPr>
          <w:ilvl w:val="0"/>
          <w:numId w:val="3"/>
        </w:numPr>
        <w:kinsoku/>
        <w:wordWrap/>
        <w:overflowPunct/>
        <w:topLinePunct w:val="0"/>
        <w:autoSpaceDE/>
        <w:autoSpaceDN/>
        <w:bidi w:val="0"/>
        <w:adjustRightInd/>
        <w:snapToGrid w:val="0"/>
        <w:spacing w:line="600" w:lineRule="exact"/>
        <w:ind w:firstLine="630" w:firstLineChars="200"/>
        <w:textAlignment w:val="auto"/>
        <w:rPr>
          <w:rFonts w:eastAsia="黑体"/>
          <w:sz w:val="32"/>
          <w:szCs w:val="32"/>
        </w:rPr>
      </w:pPr>
      <w:r>
        <w:rPr>
          <w:rFonts w:hint="eastAsia" w:eastAsia="黑体"/>
          <w:sz w:val="32"/>
          <w:szCs w:val="32"/>
        </w:rPr>
        <w:t>基本原则</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firstLine="630" w:firstLineChars="200"/>
        <w:textAlignment w:val="auto"/>
        <w:rPr>
          <w:rFonts w:ascii="Times New Roman" w:hAnsi="Times New Roman" w:eastAsia="仿宋_GB2312"/>
        </w:rPr>
      </w:pPr>
      <w:r>
        <w:rPr>
          <w:rFonts w:ascii="Times New Roman" w:hAnsi="Times New Roman" w:eastAsia="楷体_GB2312" w:cs="Times New Roman"/>
          <w:bCs/>
        </w:rPr>
        <w:t>（一）坚持党的领导、多元参与。</w:t>
      </w:r>
      <w:r>
        <w:rPr>
          <w:rFonts w:ascii="Times New Roman" w:hAnsi="Times New Roman" w:eastAsia="仿宋_GB2312"/>
        </w:rPr>
        <w:t>把党的领导贯穿到养老服务体系各领域、全过程，落实各级政府发展规划、资金投入、综合监管等责任，充分发挥社会力量作用，构建政府、社会、市场、家庭共建共享的服务格局，确保基本养老服务覆盖全民、兜住底线、均等享有。</w:t>
      </w:r>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eastAsia="楷体_GB2312"/>
          <w:sz w:val="32"/>
          <w:szCs w:val="32"/>
        </w:rPr>
      </w:pPr>
      <w:r>
        <w:rPr>
          <w:rFonts w:ascii="Times New Roman" w:hAnsi="Times New Roman" w:eastAsia="楷体_GB2312" w:cs="Times New Roman"/>
          <w:bCs/>
          <w:kern w:val="2"/>
          <w:sz w:val="32"/>
          <w:szCs w:val="32"/>
          <w:lang w:val="en-US" w:eastAsia="zh-CN" w:bidi="ar-SA"/>
        </w:rPr>
        <w:t>（二）坚持</w:t>
      </w:r>
      <w:r>
        <w:rPr>
          <w:rFonts w:hint="eastAsia" w:ascii="Times New Roman" w:hAnsi="Times New Roman" w:eastAsia="楷体_GB2312" w:cs="Times New Roman"/>
          <w:bCs/>
          <w:kern w:val="2"/>
          <w:sz w:val="32"/>
          <w:szCs w:val="32"/>
          <w:lang w:val="en-US" w:eastAsia="zh-CN" w:bidi="ar-SA"/>
        </w:rPr>
        <w:t>需求导向</w:t>
      </w:r>
      <w:r>
        <w:rPr>
          <w:rFonts w:ascii="Times New Roman" w:hAnsi="Times New Roman" w:eastAsia="楷体_GB2312" w:cs="Times New Roman"/>
          <w:bCs/>
          <w:kern w:val="2"/>
          <w:sz w:val="32"/>
          <w:szCs w:val="32"/>
          <w:lang w:val="en-US" w:eastAsia="zh-CN" w:bidi="ar-SA"/>
        </w:rPr>
        <w:t>、</w:t>
      </w:r>
      <w:r>
        <w:rPr>
          <w:rFonts w:hint="eastAsia" w:ascii="Times New Roman" w:hAnsi="Times New Roman" w:eastAsia="楷体_GB2312" w:cs="Times New Roman"/>
          <w:bCs/>
          <w:kern w:val="2"/>
          <w:sz w:val="32"/>
          <w:szCs w:val="32"/>
          <w:lang w:val="en-US" w:eastAsia="zh-CN" w:bidi="ar-SA"/>
        </w:rPr>
        <w:t>突出实效</w:t>
      </w:r>
      <w:r>
        <w:rPr>
          <w:rFonts w:ascii="Times New Roman" w:hAnsi="Times New Roman" w:eastAsia="楷体_GB2312" w:cs="Times New Roman"/>
          <w:bCs/>
          <w:kern w:val="2"/>
          <w:sz w:val="32"/>
          <w:szCs w:val="32"/>
          <w:lang w:val="en-US" w:eastAsia="zh-CN" w:bidi="ar-SA"/>
        </w:rPr>
        <w:t>。</w:t>
      </w:r>
      <w:r>
        <w:rPr>
          <w:rFonts w:hint="eastAsia" w:eastAsia="仿宋_GB2312"/>
          <w:sz w:val="32"/>
          <w:szCs w:val="32"/>
        </w:rPr>
        <w:t>精准分析全区老年人养老服务实际需求，整体谋划，统筹推进，确定主要创新创建内容，提高有效供给能力，不断满足日益增长的多样化、多层次需求。</w:t>
      </w:r>
    </w:p>
    <w:p>
      <w:pPr>
        <w:pStyle w:val="2"/>
        <w:keepNext w:val="0"/>
        <w:keepLines w:val="0"/>
        <w:pageBreakBefore w:val="0"/>
        <w:widowControl w:val="0"/>
        <w:kinsoku/>
        <w:wordWrap/>
        <w:overflowPunct/>
        <w:topLinePunct w:val="0"/>
        <w:autoSpaceDE/>
        <w:autoSpaceDN/>
        <w:bidi w:val="0"/>
        <w:adjustRightInd/>
        <w:spacing w:line="600" w:lineRule="exact"/>
        <w:ind w:left="0" w:leftChars="0" w:firstLine="630" w:firstLineChars="200"/>
        <w:textAlignment w:val="auto"/>
        <w:rPr>
          <w:rFonts w:ascii="Times New Roman" w:hAnsi="Times New Roman" w:eastAsia="仿宋_GB2312"/>
          <w:spacing w:val="6"/>
        </w:rPr>
      </w:pPr>
      <w:r>
        <w:rPr>
          <w:rFonts w:ascii="Times New Roman" w:hAnsi="Times New Roman" w:eastAsia="楷体_GB2312" w:cs="Times New Roman"/>
          <w:bCs/>
        </w:rPr>
        <w:t>（三）坚持大胆探索、</w:t>
      </w:r>
      <w:r>
        <w:rPr>
          <w:rFonts w:hint="eastAsia" w:ascii="Times New Roman" w:hAnsi="Times New Roman" w:eastAsia="楷体_GB2312" w:cs="Times New Roman"/>
          <w:bCs/>
        </w:rPr>
        <w:t>品牌驱动</w:t>
      </w:r>
      <w:r>
        <w:rPr>
          <w:rFonts w:ascii="Times New Roman" w:hAnsi="Times New Roman" w:eastAsia="楷体_GB2312" w:cs="Times New Roman"/>
          <w:bCs/>
        </w:rPr>
        <w:t>。</w:t>
      </w:r>
      <w:r>
        <w:rPr>
          <w:rFonts w:ascii="Times New Roman" w:hAnsi="Times New Roman" w:eastAsia="仿宋_GB2312"/>
        </w:rPr>
        <w:t>在养老服务实施机制、财政投入、设施建设、服务项目、人才培养、绩效评价、标准规范等方面大胆探索，破解制约养老服务体系建设的体制机制障碍，</w:t>
      </w:r>
      <w:r>
        <w:rPr>
          <w:rFonts w:hint="eastAsia" w:ascii="Times New Roman" w:hAnsi="Times New Roman" w:eastAsia="仿宋_GB2312"/>
        </w:rPr>
        <w:t>加强品牌化、专业化、连锁化运作，</w:t>
      </w:r>
      <w:r>
        <w:rPr>
          <w:rFonts w:ascii="Times New Roman" w:hAnsi="Times New Roman" w:eastAsia="仿宋_GB2312"/>
          <w:spacing w:val="6"/>
        </w:rPr>
        <w:t>创造一批具有</w:t>
      </w:r>
      <w:r>
        <w:rPr>
          <w:rFonts w:hint="eastAsia" w:ascii="Times New Roman" w:hAnsi="Times New Roman" w:eastAsia="仿宋_GB2312"/>
          <w:spacing w:val="6"/>
        </w:rPr>
        <w:t>泰山区</w:t>
      </w:r>
      <w:r>
        <w:rPr>
          <w:rFonts w:ascii="Times New Roman" w:hAnsi="Times New Roman" w:eastAsia="仿宋_GB2312"/>
          <w:spacing w:val="6"/>
        </w:rPr>
        <w:t>特色的创新实践成果。</w:t>
      </w:r>
    </w:p>
    <w:p>
      <w:pPr>
        <w:pStyle w:val="2"/>
        <w:keepNext w:val="0"/>
        <w:keepLines w:val="0"/>
        <w:pageBreakBefore w:val="0"/>
        <w:widowControl w:val="0"/>
        <w:kinsoku/>
        <w:wordWrap/>
        <w:overflowPunct/>
        <w:topLinePunct w:val="0"/>
        <w:autoSpaceDE/>
        <w:autoSpaceDN/>
        <w:bidi w:val="0"/>
        <w:adjustRightInd/>
        <w:spacing w:line="600" w:lineRule="exact"/>
        <w:ind w:left="0" w:leftChars="0" w:firstLine="630" w:firstLineChars="200"/>
        <w:textAlignment w:val="auto"/>
        <w:rPr>
          <w:rFonts w:ascii="Times New Roman" w:hAnsi="Times New Roman"/>
          <w:color w:val="000000" w:themeColor="text1"/>
          <w:spacing w:val="6"/>
        </w:rPr>
      </w:pPr>
      <w:r>
        <w:rPr>
          <w:rFonts w:hint="eastAsia"/>
          <w:color w:val="000000" w:themeColor="text1"/>
        </w:rPr>
        <w:t>三</w:t>
      </w:r>
      <w:r>
        <w:rPr>
          <w:rFonts w:ascii="Times New Roman" w:hAnsi="Times New Roman"/>
          <w:color w:val="000000" w:themeColor="text1"/>
        </w:rPr>
        <w:t>、</w:t>
      </w:r>
      <w:r>
        <w:rPr>
          <w:rFonts w:hint="eastAsia" w:ascii="Times New Roman" w:hAnsi="Times New Roman"/>
          <w:color w:val="000000" w:themeColor="text1"/>
        </w:rPr>
        <w:t>创建示范内容</w:t>
      </w:r>
    </w:p>
    <w:p>
      <w:pPr>
        <w:keepNext w:val="0"/>
        <w:keepLines w:val="0"/>
        <w:pageBreakBefore w:val="0"/>
        <w:widowControl w:val="0"/>
        <w:kinsoku/>
        <w:wordWrap/>
        <w:overflowPunct/>
        <w:topLinePunct w:val="0"/>
        <w:autoSpaceDE/>
        <w:autoSpaceDN/>
        <w:bidi w:val="0"/>
        <w:adjustRightInd/>
        <w:snapToGrid w:val="0"/>
        <w:spacing w:line="600" w:lineRule="exact"/>
        <w:ind w:firstLine="630" w:firstLineChars="200"/>
        <w:textAlignment w:val="auto"/>
        <w:rPr>
          <w:rFonts w:hint="eastAsia" w:ascii="楷体_GB2312" w:hAnsi="楷体_GB2312" w:eastAsia="楷体_GB2312" w:cs="楷体_GB2312"/>
          <w:sz w:val="32"/>
          <w:szCs w:val="32"/>
        </w:rPr>
      </w:pPr>
      <w:r>
        <w:rPr>
          <w:rFonts w:hint="eastAsia" w:ascii="Times New Roman" w:hAnsi="Times New Roman" w:eastAsia="楷体_GB2312" w:cs="Times New Roman"/>
          <w:bCs/>
          <w:kern w:val="2"/>
          <w:sz w:val="32"/>
          <w:szCs w:val="32"/>
          <w:lang w:val="en-US" w:eastAsia="zh-CN" w:bidi="ar-SA"/>
        </w:rPr>
        <w:t>（一）加强组织保障，强化政府引领。</w:t>
      </w:r>
      <w:r>
        <w:rPr>
          <w:rFonts w:hint="eastAsia" w:ascii="仿宋" w:hAnsi="仿宋" w:eastAsia="仿宋" w:cs="仿宋"/>
          <w:sz w:val="32"/>
          <w:szCs w:val="32"/>
        </w:rPr>
        <w:t>一是强化思想认识。</w:t>
      </w:r>
      <w:r>
        <w:rPr>
          <w:rFonts w:hint="eastAsia" w:eastAsia="仿宋_GB2312"/>
          <w:sz w:val="32"/>
          <w:szCs w:val="32"/>
        </w:rPr>
        <w:t>全区各级党委政府要进一步提高政治站位，加强领导，充分发挥党总揽全局、协调各方的作用，为积极应对人口老龄化提供坚强保证。</w:t>
      </w:r>
      <w:r>
        <w:rPr>
          <w:rFonts w:hint="eastAsia" w:ascii="仿宋" w:hAnsi="仿宋" w:eastAsia="仿宋" w:cs="仿宋"/>
          <w:sz w:val="32"/>
          <w:szCs w:val="32"/>
        </w:rPr>
        <w:t>二是完善工作机制。</w:t>
      </w:r>
      <w:r>
        <w:rPr>
          <w:rFonts w:hint="eastAsia" w:eastAsia="仿宋_GB2312"/>
          <w:sz w:val="32"/>
          <w:szCs w:val="32"/>
        </w:rPr>
        <w:t>从“发展”</w:t>
      </w:r>
      <w:r>
        <w:rPr>
          <w:rFonts w:eastAsia="仿宋_GB2312"/>
          <w:sz w:val="32"/>
          <w:szCs w:val="32"/>
        </w:rPr>
        <w:t>的视角去分析研究老龄</w:t>
      </w:r>
      <w:r>
        <w:rPr>
          <w:rFonts w:hint="eastAsia" w:eastAsia="仿宋_GB2312"/>
          <w:sz w:val="32"/>
          <w:szCs w:val="32"/>
          <w:lang w:eastAsia="zh-CN"/>
        </w:rPr>
        <w:t>化</w:t>
      </w:r>
      <w:r>
        <w:rPr>
          <w:rFonts w:eastAsia="仿宋_GB2312"/>
          <w:sz w:val="32"/>
          <w:szCs w:val="32"/>
        </w:rPr>
        <w:t>问题，</w:t>
      </w:r>
      <w:r>
        <w:rPr>
          <w:rFonts w:hint="eastAsia" w:eastAsia="仿宋_GB2312"/>
          <w:sz w:val="32"/>
          <w:szCs w:val="32"/>
        </w:rPr>
        <w:t>各级都要建立和完善党委统一领导、政府依法行政、部门密切配合、群团组织积极参与、上下左右协同联动的养老服务体系建设工作机制，</w:t>
      </w:r>
      <w:r>
        <w:rPr>
          <w:rFonts w:eastAsia="仿宋_GB2312"/>
          <w:sz w:val="32"/>
          <w:szCs w:val="32"/>
        </w:rPr>
        <w:t>充分调动各方积极性。</w:t>
      </w:r>
      <w:r>
        <w:rPr>
          <w:rFonts w:hint="eastAsia" w:ascii="仿宋" w:hAnsi="仿宋" w:eastAsia="仿宋" w:cs="仿宋"/>
          <w:sz w:val="32"/>
          <w:szCs w:val="32"/>
        </w:rPr>
        <w:t>三是密切协调配合。</w:t>
      </w:r>
      <w:r>
        <w:rPr>
          <w:rFonts w:hint="eastAsia" w:eastAsia="仿宋_GB2312"/>
          <w:sz w:val="32"/>
          <w:szCs w:val="32"/>
        </w:rPr>
        <w:t>要始终坚持党政主要负责人亲自抓、负总责，在制定本地区经济社会发展规划时应当充分做好衔接，健全工作机制，加强组织、协调和督导能力，聚焦全民意识提高和全社会自觉参与，形成老年人、家庭、社会、政府共建共享的良好氛围。</w:t>
      </w:r>
      <w:r>
        <w:rPr>
          <w:rFonts w:hint="eastAsia" w:ascii="楷体_GB2312" w:hAnsi="楷体_GB2312" w:eastAsia="楷体_GB2312" w:cs="楷体_GB2312"/>
          <w:sz w:val="32"/>
          <w:szCs w:val="32"/>
        </w:rPr>
        <w:t>（责任单位：区民政局、区发改局，各街道镇）</w:t>
      </w:r>
    </w:p>
    <w:p>
      <w:pPr>
        <w:keepNext w:val="0"/>
        <w:keepLines w:val="0"/>
        <w:pageBreakBefore w:val="0"/>
        <w:widowControl w:val="0"/>
        <w:kinsoku/>
        <w:wordWrap/>
        <w:overflowPunct/>
        <w:topLinePunct w:val="0"/>
        <w:autoSpaceDE/>
        <w:autoSpaceDN/>
        <w:bidi w:val="0"/>
        <w:adjustRightInd/>
        <w:snapToGrid w:val="0"/>
        <w:spacing w:line="600" w:lineRule="exact"/>
        <w:ind w:firstLine="630" w:firstLineChars="200"/>
        <w:textAlignment w:val="auto"/>
        <w:rPr>
          <w:rStyle w:val="15"/>
          <w:rFonts w:ascii="Times New Roman" w:hAnsi="Times New Roman" w:eastAsia="仿宋_GB2312"/>
          <w:b/>
          <w:sz w:val="32"/>
          <w:szCs w:val="32"/>
        </w:rPr>
      </w:pPr>
      <w:r>
        <w:rPr>
          <w:rFonts w:hint="eastAsia" w:ascii="Times New Roman" w:hAnsi="Times New Roman" w:eastAsia="楷体_GB2312" w:cs="Times New Roman"/>
          <w:bCs/>
          <w:kern w:val="2"/>
          <w:sz w:val="32"/>
          <w:szCs w:val="32"/>
          <w:lang w:val="en-US" w:eastAsia="zh-CN" w:bidi="ar-SA"/>
        </w:rPr>
        <w:t>（二）创新支持政策，加大扶持力度。</w:t>
      </w:r>
      <w:r>
        <w:rPr>
          <w:rFonts w:hint="eastAsia" w:ascii="仿宋" w:hAnsi="仿宋" w:eastAsia="仿宋" w:cs="仿宋"/>
          <w:sz w:val="32"/>
          <w:szCs w:val="32"/>
        </w:rPr>
        <w:t>一是政策引领。</w:t>
      </w:r>
      <w:r>
        <w:rPr>
          <w:rFonts w:hint="eastAsia" w:eastAsia="仿宋_GB2312"/>
          <w:sz w:val="32"/>
          <w:szCs w:val="32"/>
        </w:rPr>
        <w:t>制定出台区级推动养老服务发展意见，将养老服务经费列入财政预算，加强统筹谋划，创新扶持措施，引导社会参与，激发市场活力。</w:t>
      </w:r>
      <w:r>
        <w:rPr>
          <w:rFonts w:hint="eastAsia" w:ascii="仿宋" w:hAnsi="仿宋" w:eastAsia="仿宋" w:cs="仿宋"/>
          <w:sz w:val="32"/>
          <w:szCs w:val="32"/>
        </w:rPr>
        <w:t>二是创新社区养老服务设施配建措施。建立社区养老服务设施“四同步”工作机制和统一登记管理制度。</w:t>
      </w:r>
      <w:r>
        <w:rPr>
          <w:rFonts w:eastAsia="仿宋_GB2312"/>
          <w:sz w:val="32"/>
          <w:szCs w:val="32"/>
        </w:rPr>
        <w:t>强化居住区配套养老服务设施</w:t>
      </w:r>
      <w:r>
        <w:rPr>
          <w:rFonts w:hint="eastAsia" w:eastAsia="仿宋_GB2312"/>
          <w:sz w:val="32"/>
          <w:szCs w:val="32"/>
        </w:rPr>
        <w:t>规划、</w:t>
      </w:r>
      <w:r>
        <w:rPr>
          <w:rFonts w:eastAsia="仿宋_GB2312"/>
          <w:sz w:val="32"/>
          <w:szCs w:val="32"/>
        </w:rPr>
        <w:t>建设、移交和使用，对已交付</w:t>
      </w:r>
      <w:r>
        <w:rPr>
          <w:rFonts w:hint="eastAsia" w:eastAsia="仿宋_GB2312"/>
          <w:sz w:val="32"/>
          <w:szCs w:val="32"/>
        </w:rPr>
        <w:t>的</w:t>
      </w:r>
      <w:r>
        <w:rPr>
          <w:rFonts w:eastAsia="仿宋_GB2312"/>
          <w:sz w:val="32"/>
          <w:szCs w:val="32"/>
        </w:rPr>
        <w:t>养老服务设施由民政部门履行监管职责，确保养老服务用途</w:t>
      </w:r>
      <w:r>
        <w:rPr>
          <w:rFonts w:hint="eastAsia" w:eastAsia="仿宋_GB2312"/>
          <w:sz w:val="32"/>
          <w:szCs w:val="32"/>
        </w:rPr>
        <w:t>。</w:t>
      </w:r>
      <w:r>
        <w:rPr>
          <w:rFonts w:hint="eastAsia" w:ascii="仿宋" w:hAnsi="仿宋" w:eastAsia="仿宋" w:cs="仿宋"/>
          <w:sz w:val="32"/>
          <w:szCs w:val="32"/>
        </w:rPr>
        <w:t>三是聚焦闲置资源利用、农村养老、融资支持、消防审验等难点问题，探索务实管用的破解举措。</w:t>
      </w:r>
      <w:r>
        <w:rPr>
          <w:rStyle w:val="19"/>
          <w:rFonts w:hint="eastAsia" w:ascii="仿宋_GB2312" w:hAnsi="方正仿宋_GBK" w:eastAsia="仿宋_GB2312"/>
          <w:sz w:val="32"/>
          <w:szCs w:val="32"/>
        </w:rPr>
        <w:t>整合辖区内腾退的配套公共用房、办公用房以及闲置的厂房、学校、医院、宾馆等资源，用于养老服务设施用房。清理整合居住小区内各类闲置和低效使用的公共房屋和设施，经业主共同决策同意，交由物业服务企业统一改造用于居家社区养老服务。</w:t>
      </w:r>
      <w:r>
        <w:rPr>
          <w:rFonts w:eastAsia="仿宋_GB2312"/>
          <w:sz w:val="32"/>
          <w:szCs w:val="32"/>
        </w:rPr>
        <w:t>鼓励和支持境内外企业投资举办养老服务机构，持续推动社会力量</w:t>
      </w:r>
      <w:r>
        <w:rPr>
          <w:rFonts w:hint="eastAsia" w:eastAsia="仿宋_GB2312"/>
          <w:sz w:val="32"/>
          <w:szCs w:val="32"/>
        </w:rPr>
        <w:t>参与</w:t>
      </w:r>
      <w:r>
        <w:rPr>
          <w:rFonts w:eastAsia="仿宋_GB2312"/>
          <w:sz w:val="32"/>
          <w:szCs w:val="32"/>
        </w:rPr>
        <w:t>养老服务。发挥慈善组织、志愿服务的重要作用，推动协同发展。</w:t>
      </w:r>
      <w:r>
        <w:rPr>
          <w:rFonts w:hint="eastAsia" w:ascii="楷体_GB2312" w:hAnsi="楷体_GB2312" w:eastAsia="楷体_GB2312" w:cs="楷体_GB2312"/>
          <w:sz w:val="32"/>
          <w:szCs w:val="32"/>
        </w:rPr>
        <w:t>（责任单位：区民政局、区财政局、区住建局、区自然资源局、区卫健局，各街道镇）</w:t>
      </w:r>
    </w:p>
    <w:p>
      <w:pPr>
        <w:pStyle w:val="2"/>
        <w:keepNext w:val="0"/>
        <w:keepLines w:val="0"/>
        <w:pageBreakBefore w:val="0"/>
        <w:widowControl w:val="0"/>
        <w:kinsoku/>
        <w:wordWrap/>
        <w:overflowPunct/>
        <w:topLinePunct w:val="0"/>
        <w:autoSpaceDE/>
        <w:autoSpaceDN/>
        <w:bidi w:val="0"/>
        <w:adjustRightInd/>
        <w:spacing w:line="600" w:lineRule="exact"/>
        <w:ind w:left="0" w:leftChars="0" w:firstLine="630" w:firstLineChars="200"/>
        <w:textAlignment w:val="auto"/>
        <w:rPr>
          <w:rFonts w:ascii="仿宋" w:hAnsi="仿宋" w:eastAsia="仿宋_GB2312"/>
        </w:rPr>
      </w:pPr>
      <w:r>
        <w:rPr>
          <w:rFonts w:hint="eastAsia" w:ascii="Times New Roman" w:hAnsi="Times New Roman" w:eastAsia="楷体_GB2312" w:cs="Times New Roman"/>
          <w:bCs/>
        </w:rPr>
        <w:t>（三）创新服务制度，健全服务机制。</w:t>
      </w:r>
      <w:r>
        <w:rPr>
          <w:rFonts w:hint="eastAsia" w:ascii="仿宋" w:hAnsi="仿宋" w:eastAsia="仿宋" w:cs="仿宋"/>
        </w:rPr>
        <w:t>一是抓好兜底保障服务。</w:t>
      </w:r>
      <w:r>
        <w:rPr>
          <w:rFonts w:ascii="Times New Roman" w:hAnsi="Times New Roman" w:eastAsia="仿宋_GB2312"/>
          <w:bCs/>
        </w:rPr>
        <w:t>以经济困难和</w:t>
      </w:r>
      <w:r>
        <w:rPr>
          <w:rFonts w:hint="eastAsia" w:ascii="Times New Roman" w:hAnsi="Times New Roman" w:eastAsia="仿宋_GB2312"/>
          <w:bCs/>
        </w:rPr>
        <w:t>缺乏有效</w:t>
      </w:r>
      <w:r>
        <w:rPr>
          <w:rFonts w:ascii="Times New Roman" w:hAnsi="Times New Roman" w:eastAsia="仿宋_GB2312"/>
          <w:bCs/>
        </w:rPr>
        <w:t>照护</w:t>
      </w:r>
      <w:r>
        <w:rPr>
          <w:rFonts w:hint="eastAsia" w:ascii="Times New Roman" w:hAnsi="Times New Roman" w:eastAsia="仿宋_GB2312"/>
          <w:bCs/>
        </w:rPr>
        <w:t>保障</w:t>
      </w:r>
      <w:r>
        <w:rPr>
          <w:rFonts w:ascii="Times New Roman" w:hAnsi="Times New Roman" w:eastAsia="仿宋_GB2312"/>
          <w:bCs/>
        </w:rPr>
        <w:t>的老年人为重点，在确保特困老年人应养尽养基础上，面向全体老年人依申请提供价格可负担、质量有保证的基本养老服务</w:t>
      </w:r>
      <w:r>
        <w:rPr>
          <w:rFonts w:hint="eastAsia" w:ascii="Times New Roman" w:hAnsi="Times New Roman" w:eastAsia="仿宋_GB2312"/>
          <w:bCs/>
        </w:rPr>
        <w:t>。</w:t>
      </w:r>
      <w:r>
        <w:rPr>
          <w:rFonts w:ascii="Times New Roman" w:hAnsi="Times New Roman" w:eastAsia="仿宋_GB2312"/>
          <w:bCs/>
        </w:rPr>
        <w:t>优先保障经济困难家庭中的孤寡、失能、重度残疾、高龄老年人，计划生育特殊家庭老年人，空巢</w:t>
      </w:r>
      <w:r>
        <w:rPr>
          <w:rFonts w:hint="eastAsia" w:ascii="Times New Roman" w:hAnsi="Times New Roman" w:eastAsia="仿宋_GB2312"/>
          <w:bCs/>
        </w:rPr>
        <w:t>（</w:t>
      </w:r>
      <w:r>
        <w:rPr>
          <w:rFonts w:ascii="Times New Roman" w:hAnsi="Times New Roman" w:eastAsia="仿宋_GB2312"/>
          <w:bCs/>
        </w:rPr>
        <w:t>独居</w:t>
      </w:r>
      <w:r>
        <w:rPr>
          <w:rFonts w:hint="eastAsia" w:ascii="Times New Roman" w:hAnsi="Times New Roman" w:eastAsia="仿宋_GB2312"/>
          <w:bCs/>
        </w:rPr>
        <w:t>）</w:t>
      </w:r>
      <w:r>
        <w:rPr>
          <w:rFonts w:ascii="Times New Roman" w:hAnsi="Times New Roman" w:eastAsia="仿宋_GB2312"/>
          <w:bCs/>
        </w:rPr>
        <w:t>、留守老年人</w:t>
      </w:r>
      <w:r>
        <w:rPr>
          <w:rFonts w:hint="eastAsia" w:ascii="Times New Roman" w:hAnsi="Times New Roman" w:eastAsia="仿宋_GB2312"/>
          <w:bCs/>
        </w:rPr>
        <w:t>等</w:t>
      </w:r>
      <w:r>
        <w:rPr>
          <w:rFonts w:ascii="Times New Roman" w:hAnsi="Times New Roman" w:eastAsia="仿宋_GB2312"/>
          <w:bCs/>
        </w:rPr>
        <w:t>。</w:t>
      </w:r>
      <w:r>
        <w:rPr>
          <w:rFonts w:hint="eastAsia" w:ascii="仿宋" w:hAnsi="仿宋" w:eastAsia="仿宋" w:cs="仿宋"/>
          <w:bCs/>
        </w:rPr>
        <w:t>二是推进公共设施和老年人家庭适老化改造。</w:t>
      </w:r>
      <w:r>
        <w:rPr>
          <w:rFonts w:hint="eastAsia" w:ascii="Times New Roman" w:hAnsi="Times New Roman" w:eastAsia="仿宋_GB2312"/>
          <w:bCs/>
        </w:rPr>
        <w:t>按照《无障碍设计规范》及相关技术方案，根据老年人社会交往和日常生活需要，逐步推广实施家庭适老化改造服务。</w:t>
      </w:r>
      <w:r>
        <w:rPr>
          <w:rFonts w:hint="eastAsia" w:ascii="仿宋" w:hAnsi="仿宋" w:eastAsia="仿宋" w:cs="仿宋"/>
          <w:bCs/>
        </w:rPr>
        <w:t>三</w:t>
      </w:r>
      <w:r>
        <w:rPr>
          <w:rStyle w:val="16"/>
          <w:rFonts w:ascii="仿宋" w:hAnsi="仿宋" w:eastAsia="仿宋" w:cs="仿宋"/>
          <w:b w:val="0"/>
          <w:color w:val="auto"/>
          <w:kern w:val="0"/>
          <w:sz w:val="32"/>
          <w:szCs w:val="32"/>
        </w:rPr>
        <w:t>是</w:t>
      </w:r>
      <w:r>
        <w:rPr>
          <w:rFonts w:hint="eastAsia" w:ascii="仿宋" w:hAnsi="仿宋" w:eastAsia="仿宋" w:cs="仿宋"/>
        </w:rPr>
        <w:t>全面推进长期护理保险。</w:t>
      </w:r>
      <w:r>
        <w:rPr>
          <w:rFonts w:hint="eastAsia" w:ascii="Times New Roman" w:hAnsi="Times New Roman" w:eastAsia="仿宋_GB2312"/>
          <w:bCs/>
        </w:rPr>
        <w:t>探索建立互助共济、责任共担的多渠道筹资机制，解决符合条件的失能老年人基本生活照料和医疗护理服务需求。逐步扩大长期护理保险参保人员范围和保障范围，实现应保尽保，提高服务能力和服务质量。</w:t>
      </w:r>
      <w:r>
        <w:rPr>
          <w:rFonts w:hint="eastAsia" w:ascii="楷体_GB2312" w:hAnsi="楷体_GB2312" w:eastAsia="楷体_GB2312" w:cs="楷体_GB2312"/>
          <w:kern w:val="2"/>
          <w:sz w:val="32"/>
          <w:szCs w:val="32"/>
          <w:lang w:val="en-US" w:eastAsia="zh-CN" w:bidi="ar-SA"/>
        </w:rPr>
        <w:t>（责任单位：区民政局、区财政局、区卫健局、区医保局，各街道镇）</w:t>
      </w:r>
    </w:p>
    <w:p>
      <w:pPr>
        <w:pStyle w:val="2"/>
        <w:keepNext w:val="0"/>
        <w:keepLines w:val="0"/>
        <w:pageBreakBefore w:val="0"/>
        <w:widowControl w:val="0"/>
        <w:kinsoku/>
        <w:wordWrap/>
        <w:overflowPunct/>
        <w:topLinePunct w:val="0"/>
        <w:autoSpaceDE/>
        <w:autoSpaceDN/>
        <w:bidi w:val="0"/>
        <w:adjustRightInd/>
        <w:spacing w:line="600" w:lineRule="exact"/>
        <w:ind w:left="0" w:leftChars="0" w:firstLine="630" w:firstLineChars="200"/>
        <w:textAlignment w:val="auto"/>
        <w:rPr>
          <w:rFonts w:hint="eastAsia" w:ascii="楷体_GB2312" w:hAnsi="楷体_GB2312" w:eastAsia="楷体_GB2312" w:cs="楷体_GB2312"/>
        </w:rPr>
      </w:pPr>
      <w:r>
        <w:rPr>
          <w:rFonts w:hint="eastAsia" w:ascii="Times New Roman" w:hAnsi="Times New Roman" w:eastAsia="楷体_GB2312" w:cs="Times New Roman"/>
          <w:bCs/>
        </w:rPr>
        <w:t>（四）增加有效供给，创新服务模式。</w:t>
      </w:r>
      <w:r>
        <w:rPr>
          <w:rFonts w:hint="eastAsia" w:ascii="仿宋_GB2312" w:hAnsi="仿宋_GB2312" w:eastAsia="仿宋_GB2312" w:cs="仿宋_GB2312"/>
        </w:rPr>
        <w:t>一是加强街道镇中心主阵地建设。每个街道镇至少建设1处具备全托、日托、上门服务、医养结合、对下指导、统筹调配资源等功能的综合养老服务中心，在城乡社区层面</w:t>
      </w:r>
      <w:r>
        <w:rPr>
          <w:rFonts w:hint="eastAsia" w:ascii="仿宋_GB2312" w:hAnsi="仿宋_GB2312" w:eastAsia="仿宋_GB2312" w:cs="仿宋_GB2312"/>
          <w:lang w:eastAsia="zh-CN"/>
        </w:rPr>
        <w:t>至少</w:t>
      </w:r>
      <w:r>
        <w:rPr>
          <w:rFonts w:hint="eastAsia" w:ascii="仿宋_GB2312" w:hAnsi="仿宋_GB2312" w:eastAsia="仿宋_GB2312" w:cs="仿宋_GB2312"/>
        </w:rPr>
        <w:t>建立1处具备日间照料、上门服务、助餐配餐等功能的社区养老服务设施</w:t>
      </w:r>
      <w:r>
        <w:rPr>
          <w:rFonts w:hint="eastAsia" w:ascii="仿宋_GB2312" w:hAnsi="仿宋_GB2312" w:eastAsia="仿宋_GB2312" w:cs="仿宋_GB2312"/>
          <w:szCs w:val="24"/>
        </w:rPr>
        <w:t>，实行统一管理、统筹运营，全面形成“1+N”基本养老服务网络</w:t>
      </w:r>
      <w:r>
        <w:rPr>
          <w:rFonts w:hint="eastAsia" w:ascii="仿宋_GB2312" w:hAnsi="仿宋_GB2312" w:eastAsia="仿宋_GB2312" w:cs="仿宋_GB2312"/>
        </w:rPr>
        <w:t>，提供全托、日间照料、短期托管、助餐配餐等服务。</w:t>
      </w:r>
      <w:r>
        <w:rPr>
          <w:rFonts w:hint="eastAsia" w:ascii="仿宋_GB2312" w:hAnsi="仿宋_GB2312" w:eastAsia="仿宋_GB2312" w:cs="仿宋_GB2312"/>
          <w:shd w:val="clear" w:color="auto" w:fill="FFFFFF"/>
        </w:rPr>
        <w:t>二是</w:t>
      </w:r>
      <w:r>
        <w:rPr>
          <w:rFonts w:hint="eastAsia" w:ascii="仿宋_GB2312" w:hAnsi="仿宋_GB2312" w:eastAsia="仿宋_GB2312" w:cs="仿宋_GB2312"/>
        </w:rPr>
        <w:t>优化提升机构养老服务。大力发展具备全托、日托、上门服务等综合功能的社区嵌入式养老机构，支持养老机构延伸社区开展居家养老服务，着力发展临终关怀、认知障碍、精神康复等特色照护服务。优化养老床位供给结构，扩大护理型床位供给，新增护理型床位500张以上，占比达到55%以上，更好</w:t>
      </w:r>
      <w:r>
        <w:rPr>
          <w:rFonts w:hint="eastAsia" w:ascii="仿宋_GB2312" w:hAnsi="仿宋_GB2312" w:eastAsia="仿宋_GB2312" w:cs="仿宋_GB2312"/>
          <w:lang w:eastAsia="zh-CN"/>
        </w:rPr>
        <w:t>地</w:t>
      </w:r>
      <w:r>
        <w:rPr>
          <w:rFonts w:hint="eastAsia" w:ascii="仿宋_GB2312" w:hAnsi="仿宋_GB2312" w:eastAsia="仿宋_GB2312" w:cs="仿宋_GB2312"/>
        </w:rPr>
        <w:t>满足高龄失能失智老年人护理服务需求。</w:t>
      </w:r>
      <w:r>
        <w:rPr>
          <w:rFonts w:hint="eastAsia" w:ascii="仿宋_GB2312" w:hAnsi="仿宋_GB2312" w:eastAsia="仿宋_GB2312" w:cs="仿宋_GB2312"/>
          <w:kern w:val="0"/>
        </w:rPr>
        <w:t>三是</w:t>
      </w:r>
      <w:r>
        <w:rPr>
          <w:rFonts w:hint="eastAsia" w:ascii="仿宋_GB2312" w:hAnsi="仿宋_GB2312" w:eastAsia="仿宋_GB2312" w:cs="仿宋_GB2312"/>
        </w:rPr>
        <w:t>发展养老志愿服务。做大做优泰山公益时间银行，鼓励全民参与养老志愿服务，鼓励低龄、健康老人服务高龄、失能老人，发展互助式养老，加强留守老年人关爱服务，支持社区、村及老年群众组织等开展巡访关爱活动。</w:t>
      </w:r>
      <w:r>
        <w:rPr>
          <w:rFonts w:hint="eastAsia" w:ascii="楷体_GB2312" w:hAnsi="楷体_GB2312" w:eastAsia="楷体_GB2312" w:cs="楷体_GB2312"/>
          <w:bCs/>
        </w:rPr>
        <w:t>（责任单位：区民政局、区卫健局、区医保局，各街道镇）</w:t>
      </w:r>
    </w:p>
    <w:p>
      <w:pPr>
        <w:pStyle w:val="2"/>
        <w:keepNext w:val="0"/>
        <w:keepLines w:val="0"/>
        <w:pageBreakBefore w:val="0"/>
        <w:widowControl w:val="0"/>
        <w:kinsoku/>
        <w:wordWrap/>
        <w:overflowPunct/>
        <w:topLinePunct w:val="0"/>
        <w:autoSpaceDE/>
        <w:autoSpaceDN/>
        <w:bidi w:val="0"/>
        <w:adjustRightInd/>
        <w:spacing w:line="600" w:lineRule="exact"/>
        <w:ind w:left="0" w:leftChars="0" w:firstLine="630" w:firstLineChars="200"/>
        <w:textAlignment w:val="auto"/>
        <w:rPr>
          <w:rFonts w:eastAsia="仿宋_GB2312"/>
        </w:rPr>
      </w:pPr>
      <w:r>
        <w:rPr>
          <w:rFonts w:hint="eastAsia" w:ascii="Times New Roman" w:hAnsi="Times New Roman" w:eastAsia="楷体_GB2312" w:cs="Times New Roman"/>
          <w:bCs/>
        </w:rPr>
        <w:t>（五）创新质量监管，提升服务水平。</w:t>
      </w:r>
      <w:r>
        <w:rPr>
          <w:rFonts w:hint="eastAsia" w:ascii="仿宋" w:hAnsi="仿宋" w:eastAsia="仿宋" w:cs="仿宋"/>
        </w:rPr>
        <w:t>一是加强全方位监管。</w:t>
      </w:r>
      <w:r>
        <w:rPr>
          <w:rFonts w:eastAsia="仿宋_GB2312"/>
        </w:rPr>
        <w:t>坚持</w:t>
      </w:r>
      <w:r>
        <w:rPr>
          <w:rStyle w:val="15"/>
          <w:rFonts w:ascii="Times New Roman" w:hAnsi="Times New Roman" w:eastAsia="仿宋_GB2312"/>
        </w:rPr>
        <w:t>政府监督、公众监督、舆论监督、行业自律相结合，</w:t>
      </w:r>
      <w:r>
        <w:rPr>
          <w:rFonts w:eastAsia="仿宋_GB2312"/>
        </w:rPr>
        <w:t>将养老服务作为综合监管的重点，</w:t>
      </w:r>
      <w:r>
        <w:rPr>
          <w:rStyle w:val="15"/>
          <w:rFonts w:ascii="Times New Roman" w:hAnsi="Times New Roman" w:eastAsia="仿宋_GB2312"/>
        </w:rPr>
        <w:t>实行全覆盖、全方位、全流程监</w:t>
      </w:r>
      <w:r>
        <w:rPr>
          <w:rStyle w:val="15"/>
          <w:rFonts w:hint="eastAsia" w:ascii="Times New Roman" w:hAnsi="Times New Roman" w:eastAsia="仿宋_GB2312"/>
        </w:rPr>
        <w:t>督</w:t>
      </w:r>
      <w:r>
        <w:rPr>
          <w:rFonts w:eastAsia="仿宋_GB2312"/>
        </w:rPr>
        <w:t>。加强民政与消防、食品安全、卫</w:t>
      </w:r>
      <w:r>
        <w:rPr>
          <w:rFonts w:hint="eastAsia" w:eastAsia="仿宋_GB2312"/>
          <w:lang w:eastAsia="zh-CN"/>
        </w:rPr>
        <w:t>健</w:t>
      </w:r>
      <w:r>
        <w:rPr>
          <w:rFonts w:eastAsia="仿宋_GB2312"/>
        </w:rPr>
        <w:t>等专业监管联动共享，健全“双随机、一公开”工作机制，推动联合监管、联合执法、联合惩治。毫不松懈抓好常态化疫情防控及各类风险防范，确保安全运行。</w:t>
      </w:r>
      <w:r>
        <w:rPr>
          <w:rFonts w:hint="eastAsia" w:ascii="仿宋" w:hAnsi="仿宋" w:eastAsia="仿宋" w:cs="仿宋"/>
        </w:rPr>
        <w:t>二是加强标准化管理。完</w:t>
      </w:r>
      <w:r>
        <w:rPr>
          <w:rFonts w:eastAsia="仿宋_GB2312"/>
        </w:rPr>
        <w:t>善安全、服务、管理、设施等标准，</w:t>
      </w:r>
      <w:r>
        <w:rPr>
          <w:rFonts w:eastAsia="仿宋_GB2312"/>
          <w:bCs/>
        </w:rPr>
        <w:t>全面落实养老服务机构服务质量、安全基本规范等标准，用标准化引领服务提档升级。开展养老服务</w:t>
      </w:r>
      <w:r>
        <w:rPr>
          <w:rFonts w:hint="eastAsia" w:eastAsia="仿宋_GB2312"/>
          <w:bCs/>
        </w:rPr>
        <w:t>设施</w:t>
      </w:r>
      <w:r>
        <w:rPr>
          <w:rFonts w:eastAsia="仿宋_GB2312"/>
          <w:bCs/>
        </w:rPr>
        <w:t>星级评定</w:t>
      </w:r>
      <w:r>
        <w:rPr>
          <w:rFonts w:hint="eastAsia" w:eastAsia="仿宋_GB2312"/>
          <w:bCs/>
        </w:rPr>
        <w:t>，实行差异化奖补，激励规范提升</w:t>
      </w:r>
      <w:r>
        <w:rPr>
          <w:rFonts w:eastAsia="仿宋_GB2312"/>
          <w:bCs/>
        </w:rPr>
        <w:t>。</w:t>
      </w:r>
      <w:r>
        <w:rPr>
          <w:rFonts w:hint="eastAsia" w:ascii="仿宋" w:hAnsi="仿宋" w:eastAsia="仿宋" w:cs="仿宋"/>
        </w:rPr>
        <w:t>三是健全养老服务专业人才培养体系。</w:t>
      </w:r>
      <w:r>
        <w:rPr>
          <w:rFonts w:ascii="仿宋_GB2312" w:hAnsi="宋体" w:eastAsia="仿宋_GB2312" w:cs="仿宋_GB2312"/>
          <w:color w:val="000000"/>
          <w:shd w:val="clear" w:color="auto" w:fill="FFFFFF"/>
        </w:rPr>
        <w:t>加快建立养老护理员培训机制，完善培训内容，提高从业待遇，增强人员素质，调动优秀专业人才充实养老服务队伍</w:t>
      </w:r>
      <w:r>
        <w:rPr>
          <w:rFonts w:hint="eastAsia" w:ascii="仿宋_GB2312" w:hAnsi="宋体" w:eastAsia="仿宋_GB2312" w:cs="仿宋_GB2312"/>
          <w:color w:val="000000"/>
          <w:shd w:val="clear" w:color="auto" w:fill="FFFFFF"/>
        </w:rPr>
        <w:t>。</w:t>
      </w:r>
      <w:r>
        <w:rPr>
          <w:rFonts w:eastAsia="仿宋_GB2312"/>
        </w:rPr>
        <w:t>支持养老服务机构与各类院校（含职业院校）合作开展养老服务管理人才定向培养，采取定点招生、定向培养、保障就业等方式，培养扎根基层、具备养老服务知识和技能的实用型、复合型人才。组织开展失能老年人及其家庭成员、低龄健康老人养老照护技能培训，提高照护技能。</w:t>
      </w:r>
      <w:r>
        <w:rPr>
          <w:rFonts w:hint="eastAsia" w:eastAsia="仿宋_GB2312"/>
        </w:rPr>
        <w:t>开展养老护理员职业技能竞赛，按照有关规定对获奖选手予以奖励，落实职业技能等级晋升等政策。</w:t>
      </w:r>
      <w:r>
        <w:rPr>
          <w:rFonts w:hint="eastAsia" w:ascii="楷体_GB2312" w:hAnsi="楷体_GB2312" w:eastAsia="楷体_GB2312" w:cs="楷体_GB2312"/>
        </w:rPr>
        <w:t>（责任单位：区民政局、区财政局、区人社局、区卫健局、区市场监管局、区应急局、区行政审批局、区消防救援大队，</w:t>
      </w:r>
      <w:r>
        <w:rPr>
          <w:rFonts w:hint="eastAsia" w:ascii="楷体_GB2312" w:hAnsi="楷体_GB2312" w:eastAsia="楷体_GB2312" w:cs="楷体_GB2312"/>
          <w:bCs/>
        </w:rPr>
        <w:t>各街道镇</w:t>
      </w:r>
      <w:r>
        <w:rPr>
          <w:rFonts w:hint="eastAsia" w:ascii="楷体_GB2312" w:hAnsi="楷体_GB2312" w:eastAsia="楷体_GB2312" w:cs="楷体_GB2312"/>
        </w:rPr>
        <w:t>）</w:t>
      </w:r>
    </w:p>
    <w:p>
      <w:pPr>
        <w:pStyle w:val="2"/>
        <w:keepNext w:val="0"/>
        <w:keepLines w:val="0"/>
        <w:pageBreakBefore w:val="0"/>
        <w:widowControl w:val="0"/>
        <w:kinsoku/>
        <w:wordWrap/>
        <w:overflowPunct/>
        <w:topLinePunct w:val="0"/>
        <w:autoSpaceDE/>
        <w:autoSpaceDN/>
        <w:bidi w:val="0"/>
        <w:adjustRightInd/>
        <w:spacing w:line="600" w:lineRule="exact"/>
        <w:ind w:left="0" w:leftChars="0" w:firstLine="630" w:firstLineChars="200"/>
        <w:textAlignment w:val="auto"/>
        <w:rPr>
          <w:rFonts w:hint="eastAsia" w:ascii="楷体_GB2312" w:hAnsi="楷体_GB2312" w:eastAsia="楷体_GB2312" w:cs="楷体_GB2312"/>
        </w:rPr>
      </w:pPr>
      <w:r>
        <w:rPr>
          <w:rFonts w:hint="eastAsia" w:ascii="Times New Roman" w:hAnsi="Times New Roman" w:eastAsia="楷体_GB2312" w:cs="Times New Roman"/>
          <w:bCs/>
        </w:rPr>
        <w:t>（六）创新发展模式，推动品牌连锁。</w:t>
      </w:r>
      <w:r>
        <w:rPr>
          <w:rFonts w:hint="eastAsia" w:ascii="仿宋" w:hAnsi="仿宋" w:eastAsia="仿宋" w:cs="仿宋"/>
        </w:rPr>
        <w:t>一是推进医养康养相结合。</w:t>
      </w:r>
      <w:r>
        <w:rPr>
          <w:rFonts w:eastAsia="仿宋_GB2312"/>
          <w:kern w:val="0"/>
          <w:shd w:val="clear" w:color="auto" w:fill="FFFFFF"/>
        </w:rPr>
        <w:t>推进医疗</w:t>
      </w:r>
      <w:r>
        <w:rPr>
          <w:rFonts w:eastAsia="仿宋_GB2312"/>
          <w:kern w:val="0"/>
        </w:rPr>
        <w:t>机构、</w:t>
      </w:r>
      <w:r>
        <w:rPr>
          <w:rFonts w:eastAsia="仿宋_GB2312"/>
          <w:kern w:val="0"/>
          <w:shd w:val="clear" w:color="auto" w:fill="FFFFFF"/>
        </w:rPr>
        <w:t>养老机构空间布局规划一体化，</w:t>
      </w:r>
      <w:r>
        <w:rPr>
          <w:rFonts w:eastAsia="仿宋_GB2312"/>
          <w:kern w:val="0"/>
        </w:rPr>
        <w:t>推行医院、养老院双向转介</w:t>
      </w:r>
      <w:r>
        <w:rPr>
          <w:rFonts w:hint="eastAsia" w:eastAsia="仿宋_GB2312"/>
          <w:kern w:val="0"/>
        </w:rPr>
        <w:t>、</w:t>
      </w:r>
      <w:r>
        <w:rPr>
          <w:rFonts w:eastAsia="仿宋_GB2312"/>
          <w:kern w:val="0"/>
        </w:rPr>
        <w:t>双向转诊。强化基本养老服务与基本公共卫生服务有</w:t>
      </w:r>
      <w:r>
        <w:rPr>
          <w:rFonts w:hint="eastAsia" w:eastAsia="仿宋_GB2312"/>
          <w:kern w:val="0"/>
        </w:rPr>
        <w:t>效</w:t>
      </w:r>
      <w:r>
        <w:rPr>
          <w:rFonts w:eastAsia="仿宋_GB2312"/>
          <w:kern w:val="0"/>
        </w:rPr>
        <w:t>衔接，推进基层医疗卫生机构与老年人家庭签约服务，夯实家庭医生签约服务内容，为常住老年人建立健康档案，提供生活方式、健康状况评估、体格检查和健康指导等健康管理服务。</w:t>
      </w:r>
      <w:r>
        <w:rPr>
          <w:rFonts w:hint="eastAsia" w:ascii="仿宋" w:hAnsi="仿宋" w:eastAsia="仿宋" w:cs="仿宋"/>
          <w:kern w:val="0"/>
        </w:rPr>
        <w:t>二是积极推进“互联网+养老”，打造区级养老服务平台，实现供需有效对接。</w:t>
      </w:r>
      <w:r>
        <w:rPr>
          <w:rFonts w:hint="eastAsia" w:eastAsia="仿宋_GB2312"/>
          <w:kern w:val="0"/>
        </w:rPr>
        <w:t>引入专业服务组织，发挥品牌优势，活跃养老市场。通过集团化、企业化运作，实施品牌化、连锁化运营，推动养老服务高质量发展。</w:t>
      </w:r>
      <w:r>
        <w:rPr>
          <w:rFonts w:hint="eastAsia" w:ascii="仿宋" w:hAnsi="仿宋" w:eastAsia="仿宋" w:cs="仿宋"/>
        </w:rPr>
        <w:t>三是支持社会力量提供服务。</w:t>
      </w:r>
      <w:r>
        <w:rPr>
          <w:rFonts w:hint="eastAsia" w:eastAsia="仿宋_GB2312"/>
        </w:rPr>
        <w:t>以</w:t>
      </w:r>
      <w:r>
        <w:rPr>
          <w:rFonts w:eastAsia="仿宋_GB2312"/>
        </w:rPr>
        <w:t>购买服务</w:t>
      </w:r>
      <w:r>
        <w:rPr>
          <w:rFonts w:hint="eastAsia" w:eastAsia="仿宋_GB2312"/>
        </w:rPr>
        <w:t>方式，吸引社会力量参与基本养老服务。</w:t>
      </w:r>
      <w:r>
        <w:rPr>
          <w:rFonts w:eastAsia="仿宋_GB2312"/>
        </w:rPr>
        <w:t>引导养老企业参与城企联动普惠养老服务行动，在合作协议中明确纳入基本养老服务机</w:t>
      </w:r>
      <w:r>
        <w:rPr>
          <w:rFonts w:eastAsia="仿宋_GB2312"/>
          <w:spacing w:val="-6"/>
          <w:sz w:val="32"/>
        </w:rPr>
        <w:t>构管理</w:t>
      </w:r>
      <w:r>
        <w:rPr>
          <w:rFonts w:hint="eastAsia" w:eastAsia="仿宋_GB2312"/>
          <w:spacing w:val="-6"/>
          <w:sz w:val="32"/>
        </w:rPr>
        <w:t>。整合家政、物业、餐饮、旅游、健康等资源，形成居家和社区养老服务多元化供给体系。</w:t>
      </w:r>
      <w:r>
        <w:rPr>
          <w:rFonts w:hint="eastAsia" w:ascii="楷体_GB2312" w:hAnsi="楷体_GB2312" w:eastAsia="楷体_GB2312" w:cs="楷体_GB2312"/>
          <w:spacing w:val="-6"/>
          <w:sz w:val="32"/>
        </w:rPr>
        <w:t>（责任单位：区民政局、区工信局、区卫健局、区住建局、区行政审批局、区文旅局，</w:t>
      </w:r>
      <w:r>
        <w:rPr>
          <w:rFonts w:hint="eastAsia" w:ascii="楷体_GB2312" w:hAnsi="楷体_GB2312" w:eastAsia="楷体_GB2312" w:cs="楷体_GB2312"/>
          <w:bCs/>
          <w:spacing w:val="-6"/>
          <w:sz w:val="32"/>
        </w:rPr>
        <w:t>各街道镇</w:t>
      </w:r>
      <w:r>
        <w:rPr>
          <w:rFonts w:hint="eastAsia" w:ascii="楷体_GB2312" w:hAnsi="楷体_GB2312" w:eastAsia="楷体_GB2312" w:cs="楷体_GB2312"/>
          <w:spacing w:val="-6"/>
          <w:sz w:val="32"/>
        </w:rPr>
        <w:t>）</w:t>
      </w:r>
    </w:p>
    <w:p>
      <w:pPr>
        <w:keepNext w:val="0"/>
        <w:keepLines w:val="0"/>
        <w:pageBreakBefore w:val="0"/>
        <w:widowControl w:val="0"/>
        <w:kinsoku/>
        <w:wordWrap/>
        <w:overflowPunct/>
        <w:topLinePunct w:val="0"/>
        <w:autoSpaceDE/>
        <w:autoSpaceDN/>
        <w:bidi w:val="0"/>
        <w:adjustRightInd/>
        <w:spacing w:line="600" w:lineRule="exact"/>
        <w:ind w:firstLine="630" w:firstLineChars="200"/>
        <w:textAlignment w:val="auto"/>
        <w:rPr>
          <w:rFonts w:eastAsia="黑体"/>
          <w:sz w:val="32"/>
          <w:szCs w:val="32"/>
        </w:rPr>
      </w:pPr>
      <w:r>
        <w:rPr>
          <w:rFonts w:hint="eastAsia" w:eastAsia="黑体"/>
          <w:sz w:val="32"/>
          <w:szCs w:val="32"/>
        </w:rPr>
        <w:t>四</w:t>
      </w:r>
      <w:r>
        <w:rPr>
          <w:rFonts w:eastAsia="黑体"/>
          <w:sz w:val="32"/>
          <w:szCs w:val="32"/>
        </w:rPr>
        <w:t>、</w:t>
      </w:r>
      <w:r>
        <w:rPr>
          <w:rFonts w:hint="eastAsia" w:eastAsia="黑体"/>
          <w:sz w:val="32"/>
          <w:szCs w:val="32"/>
        </w:rPr>
        <w:t>实施步骤</w:t>
      </w:r>
    </w:p>
    <w:p>
      <w:pPr>
        <w:pStyle w:val="2"/>
        <w:keepNext w:val="0"/>
        <w:keepLines w:val="0"/>
        <w:pageBreakBefore w:val="0"/>
        <w:widowControl w:val="0"/>
        <w:kinsoku/>
        <w:wordWrap/>
        <w:overflowPunct/>
        <w:topLinePunct w:val="0"/>
        <w:autoSpaceDE/>
        <w:autoSpaceDN/>
        <w:bidi w:val="0"/>
        <w:adjustRightInd/>
        <w:spacing w:line="600" w:lineRule="exact"/>
        <w:ind w:left="0" w:leftChars="0" w:firstLine="63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楷体_GB2312" w:cs="Times New Roman"/>
          <w:bCs/>
        </w:rPr>
        <w:t>（一）谋划启动阶段</w:t>
      </w:r>
      <w:r>
        <w:rPr>
          <w:rFonts w:hint="eastAsia" w:ascii="楷体_GB2312" w:hAnsi="楷体_GB2312" w:eastAsia="楷体_GB2312" w:cs="楷体_GB2312"/>
          <w:bCs/>
        </w:rPr>
        <w:t>（8月16日前）</w:t>
      </w:r>
      <w:r>
        <w:rPr>
          <w:rFonts w:hint="eastAsia" w:ascii="Times New Roman" w:hAnsi="Times New Roman" w:eastAsia="楷体_GB2312" w:cs="Times New Roman"/>
          <w:bCs/>
        </w:rPr>
        <w:t>。</w:t>
      </w:r>
      <w:r>
        <w:rPr>
          <w:rFonts w:hint="eastAsia" w:ascii="Times New Roman" w:hAnsi="Times New Roman" w:eastAsia="仿宋_GB2312" w:cs="Times New Roman"/>
          <w:kern w:val="2"/>
          <w:sz w:val="32"/>
          <w:szCs w:val="24"/>
          <w:lang w:val="en-US" w:eastAsia="zh-CN" w:bidi="ar-SA"/>
        </w:rPr>
        <w:t>按照省厅通知要求，起草泰山区创建全省县域养老服务体系创新示范区实施方案，召开专题会议部署创建工作，明确部门职责，分解工作任务，全面启动创建活动。</w:t>
      </w:r>
    </w:p>
    <w:p>
      <w:pPr>
        <w:keepNext w:val="0"/>
        <w:keepLines w:val="0"/>
        <w:pageBreakBefore w:val="0"/>
        <w:widowControl w:val="0"/>
        <w:kinsoku/>
        <w:wordWrap/>
        <w:overflowPunct/>
        <w:topLinePunct w:val="0"/>
        <w:autoSpaceDE/>
        <w:autoSpaceDN/>
        <w:bidi w:val="0"/>
        <w:adjustRightInd/>
        <w:spacing w:line="600" w:lineRule="exact"/>
        <w:ind w:firstLine="630" w:firstLineChars="200"/>
        <w:textAlignment w:val="auto"/>
        <w:rPr>
          <w:rFonts w:hint="eastAsia" w:eastAsia="仿宋_GB2312"/>
          <w:sz w:val="32"/>
          <w:szCs w:val="24"/>
        </w:rPr>
      </w:pPr>
      <w:r>
        <w:rPr>
          <w:rFonts w:hint="eastAsia" w:ascii="Times New Roman" w:hAnsi="Times New Roman" w:eastAsia="楷体_GB2312" w:cs="Times New Roman"/>
          <w:bCs/>
          <w:kern w:val="2"/>
          <w:sz w:val="32"/>
          <w:szCs w:val="32"/>
          <w:lang w:val="en-US" w:eastAsia="zh-CN" w:bidi="ar-SA"/>
        </w:rPr>
        <w:t>（二）组织实施阶段</w:t>
      </w:r>
      <w:r>
        <w:rPr>
          <w:rFonts w:hint="eastAsia" w:ascii="楷体_GB2312" w:hAnsi="楷体_GB2312" w:eastAsia="楷体_GB2312" w:cs="楷体_GB2312"/>
          <w:bCs/>
          <w:kern w:val="2"/>
          <w:sz w:val="32"/>
          <w:szCs w:val="32"/>
          <w:lang w:val="en-US" w:eastAsia="zh-CN" w:bidi="ar-SA"/>
        </w:rPr>
        <w:t>（8月16日—9月30日）</w:t>
      </w:r>
      <w:r>
        <w:rPr>
          <w:rFonts w:hint="eastAsia" w:ascii="Times New Roman" w:hAnsi="Times New Roman" w:eastAsia="楷体_GB2312" w:cs="Times New Roman"/>
          <w:bCs/>
          <w:kern w:val="2"/>
          <w:sz w:val="32"/>
          <w:szCs w:val="32"/>
          <w:lang w:val="en-US" w:eastAsia="zh-CN" w:bidi="ar-SA"/>
        </w:rPr>
        <w:t>。</w:t>
      </w:r>
      <w:r>
        <w:rPr>
          <w:rFonts w:hint="eastAsia" w:eastAsia="仿宋_GB2312"/>
          <w:sz w:val="32"/>
          <w:szCs w:val="24"/>
        </w:rPr>
        <w:t>印发创建实施方案，召开推进会，对照目标任务，组织实施各项创新措施。建立督办机制，加大督办和考评力度，定期通报工作进展情况。认真组织开展创建自评工作，查缺补漏，完善创建档案资料，有序汇编成册。</w:t>
      </w:r>
    </w:p>
    <w:p>
      <w:pPr>
        <w:pStyle w:val="2"/>
        <w:keepNext w:val="0"/>
        <w:keepLines w:val="0"/>
        <w:pageBreakBefore w:val="0"/>
        <w:widowControl w:val="0"/>
        <w:kinsoku/>
        <w:wordWrap/>
        <w:overflowPunct/>
        <w:topLinePunct w:val="0"/>
        <w:autoSpaceDE/>
        <w:autoSpaceDN/>
        <w:bidi w:val="0"/>
        <w:adjustRightInd/>
        <w:spacing w:line="600" w:lineRule="exact"/>
        <w:ind w:left="0" w:leftChars="0" w:firstLine="630" w:firstLineChars="200"/>
        <w:textAlignment w:val="auto"/>
        <w:rPr>
          <w:rFonts w:eastAsia="仿宋_GB2312"/>
        </w:rPr>
      </w:pPr>
      <w:r>
        <w:rPr>
          <w:rFonts w:hint="eastAsia" w:ascii="Times New Roman" w:hAnsi="Times New Roman" w:eastAsia="楷体_GB2312" w:cs="Times New Roman"/>
          <w:bCs/>
        </w:rPr>
        <w:t>（三）总结验收阶段</w:t>
      </w:r>
      <w:r>
        <w:rPr>
          <w:rFonts w:hint="eastAsia" w:ascii="楷体_GB2312" w:hAnsi="楷体_GB2312" w:eastAsia="楷体_GB2312" w:cs="楷体_GB2312"/>
          <w:bCs/>
        </w:rPr>
        <w:t>（10月1日—11月30日）</w:t>
      </w:r>
      <w:r>
        <w:rPr>
          <w:rFonts w:hint="eastAsia" w:ascii="Times New Roman" w:hAnsi="Times New Roman" w:eastAsia="楷体_GB2312" w:cs="Times New Roman"/>
          <w:bCs/>
        </w:rPr>
        <w:t>。</w:t>
      </w:r>
      <w:r>
        <w:rPr>
          <w:rFonts w:hint="eastAsia" w:eastAsia="仿宋_GB2312"/>
        </w:rPr>
        <w:t>对照省创建考核标准和创建工作方案进行检查，对标找差、销号管理，撰写创建工作报告，迎接好市民政局考核评价和实地考察。进一步完善资料和现场，迎接省民政厅专家评审。</w:t>
      </w:r>
    </w:p>
    <w:p>
      <w:pPr>
        <w:keepNext w:val="0"/>
        <w:keepLines w:val="0"/>
        <w:pageBreakBefore w:val="0"/>
        <w:widowControl w:val="0"/>
        <w:kinsoku/>
        <w:wordWrap/>
        <w:overflowPunct/>
        <w:topLinePunct w:val="0"/>
        <w:autoSpaceDE/>
        <w:autoSpaceDN/>
        <w:bidi w:val="0"/>
        <w:adjustRightInd/>
        <w:spacing w:line="600" w:lineRule="exact"/>
        <w:ind w:firstLine="630" w:firstLineChars="200"/>
        <w:textAlignment w:val="auto"/>
      </w:pPr>
      <w:r>
        <w:rPr>
          <w:rFonts w:hint="eastAsia" w:ascii="Times New Roman" w:hAnsi="Times New Roman" w:eastAsia="楷体_GB2312" w:cs="Times New Roman"/>
          <w:bCs/>
          <w:kern w:val="2"/>
          <w:sz w:val="32"/>
          <w:szCs w:val="32"/>
          <w:lang w:val="en-US" w:eastAsia="zh-CN" w:bidi="ar-SA"/>
        </w:rPr>
        <w:t>（四）巩固提升阶段</w:t>
      </w:r>
      <w:r>
        <w:rPr>
          <w:rFonts w:hint="eastAsia" w:ascii="楷体_GB2312" w:hAnsi="楷体_GB2312" w:eastAsia="楷体_GB2312" w:cs="楷体_GB2312"/>
          <w:bCs/>
          <w:kern w:val="2"/>
          <w:sz w:val="32"/>
          <w:szCs w:val="32"/>
          <w:lang w:val="en-US" w:eastAsia="zh-CN" w:bidi="ar-SA"/>
        </w:rPr>
        <w:t>（12月1日—12月31日）</w:t>
      </w:r>
      <w:r>
        <w:rPr>
          <w:rFonts w:hint="eastAsia" w:ascii="Times New Roman" w:hAnsi="Times New Roman" w:eastAsia="楷体_GB2312" w:cs="Times New Roman"/>
          <w:bCs/>
          <w:kern w:val="2"/>
          <w:sz w:val="32"/>
          <w:szCs w:val="32"/>
          <w:lang w:val="en-US" w:eastAsia="zh-CN" w:bidi="ar-SA"/>
        </w:rPr>
        <w:t>。</w:t>
      </w:r>
      <w:r>
        <w:rPr>
          <w:rFonts w:hint="eastAsia" w:eastAsia="仿宋_GB2312"/>
          <w:sz w:val="32"/>
          <w:szCs w:val="32"/>
        </w:rPr>
        <w:t>进一步规范提升创建成果，对初见成效的环节进行深化提升，完善政策体系，对创建过程中形成的特色创新、务实管用的经验做法进行总结提炼，做好宣传推广，推进创建工作全面达标达效。</w:t>
      </w:r>
    </w:p>
    <w:p>
      <w:pPr>
        <w:keepNext w:val="0"/>
        <w:keepLines w:val="0"/>
        <w:pageBreakBefore w:val="0"/>
        <w:widowControl w:val="0"/>
        <w:kinsoku/>
        <w:wordWrap/>
        <w:overflowPunct/>
        <w:topLinePunct w:val="0"/>
        <w:autoSpaceDE/>
        <w:autoSpaceDN/>
        <w:bidi w:val="0"/>
        <w:adjustRightInd/>
        <w:snapToGrid w:val="0"/>
        <w:spacing w:line="600" w:lineRule="exact"/>
        <w:ind w:firstLine="630" w:firstLineChars="200"/>
        <w:textAlignment w:val="auto"/>
      </w:pPr>
      <w:r>
        <w:rPr>
          <w:rFonts w:hint="eastAsia" w:eastAsia="黑体"/>
          <w:sz w:val="32"/>
          <w:szCs w:val="32"/>
        </w:rPr>
        <w:t>五、</w:t>
      </w:r>
      <w:r>
        <w:rPr>
          <w:rFonts w:eastAsia="黑体"/>
          <w:sz w:val="32"/>
          <w:szCs w:val="32"/>
        </w:rPr>
        <w:t xml:space="preserve">保障措施 </w:t>
      </w:r>
      <w:r>
        <w:rPr>
          <w:rFonts w:eastAsia="黑体"/>
          <w:b/>
          <w:bCs/>
          <w:sz w:val="32"/>
          <w:szCs w:val="32"/>
        </w:rPr>
        <w:t xml:space="preserve">  </w:t>
      </w:r>
    </w:p>
    <w:p>
      <w:pPr>
        <w:keepNext w:val="0"/>
        <w:keepLines w:val="0"/>
        <w:pageBreakBefore w:val="0"/>
        <w:widowControl w:val="0"/>
        <w:tabs>
          <w:tab w:val="left" w:pos="7181"/>
        </w:tabs>
        <w:kinsoku/>
        <w:wordWrap/>
        <w:overflowPunct/>
        <w:topLinePunct w:val="0"/>
        <w:autoSpaceDE/>
        <w:autoSpaceDN/>
        <w:bidi w:val="0"/>
        <w:adjustRightInd/>
        <w:spacing w:line="600" w:lineRule="exact"/>
        <w:ind w:firstLine="630" w:firstLineChars="200"/>
        <w:textAlignment w:val="auto"/>
        <w:rPr>
          <w:rFonts w:eastAsia="仿宋_GB2312"/>
          <w:sz w:val="32"/>
          <w:szCs w:val="24"/>
        </w:rPr>
      </w:pPr>
      <w:r>
        <w:rPr>
          <w:rFonts w:hint="eastAsia" w:ascii="Times New Roman" w:hAnsi="Times New Roman" w:eastAsia="楷体_GB2312" w:cs="Times New Roman"/>
          <w:bCs/>
          <w:kern w:val="2"/>
          <w:sz w:val="32"/>
          <w:szCs w:val="32"/>
          <w:lang w:val="en-US" w:eastAsia="zh-CN" w:bidi="ar-SA"/>
        </w:rPr>
        <w:t>（一）加强组织领导。</w:t>
      </w:r>
      <w:r>
        <w:rPr>
          <w:rFonts w:hint="eastAsia" w:eastAsia="仿宋_GB2312"/>
          <w:sz w:val="32"/>
          <w:szCs w:val="32"/>
        </w:rPr>
        <w:t>成立泰山区创建全省县域养老服务体系创新示范区工作领导小组，</w:t>
      </w:r>
      <w:r>
        <w:rPr>
          <w:rFonts w:hint="eastAsia" w:eastAsia="仿宋_GB2312"/>
          <w:sz w:val="32"/>
          <w:szCs w:val="24"/>
        </w:rPr>
        <w:t>建立责权清晰、运转高效的示范区建设领导协调机制，</w:t>
      </w:r>
      <w:r>
        <w:rPr>
          <w:rFonts w:eastAsia="仿宋_GB2312"/>
          <w:sz w:val="32"/>
          <w:szCs w:val="24"/>
        </w:rPr>
        <w:t>健全党委领导、政府主导、部门协同、社会参与的工作机制，</w:t>
      </w:r>
      <w:r>
        <w:rPr>
          <w:rFonts w:hint="eastAsia" w:eastAsia="仿宋_GB2312"/>
          <w:sz w:val="32"/>
          <w:szCs w:val="24"/>
        </w:rPr>
        <w:t>统筹推进示范区创建工作。领导小组定期组织召开会议，</w:t>
      </w:r>
      <w:r>
        <w:rPr>
          <w:rFonts w:hint="eastAsia" w:eastAsia="仿宋_GB2312"/>
          <w:sz w:val="32"/>
          <w:szCs w:val="32"/>
        </w:rPr>
        <w:t>抓好工作协调，及时研究解决创建过程中出现的困难和问题，形成齐抓共管，整体推进的工作格局。严格督查考核，加强对创新工作的跟踪指导和督导检查，适时评估并予以通报，确保创建工作顺利推进。</w:t>
      </w:r>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eastAsia="仿宋_GB2312"/>
          <w:sz w:val="32"/>
          <w:szCs w:val="24"/>
        </w:rPr>
      </w:pPr>
      <w:r>
        <w:rPr>
          <w:rFonts w:hint="eastAsia" w:ascii="Times New Roman" w:hAnsi="Times New Roman" w:eastAsia="楷体_GB2312" w:cs="Times New Roman"/>
          <w:bCs/>
          <w:kern w:val="2"/>
          <w:sz w:val="32"/>
          <w:szCs w:val="32"/>
          <w:lang w:val="en-US" w:eastAsia="zh-CN" w:bidi="ar-SA"/>
        </w:rPr>
        <w:t>（二）强化政策保障。</w:t>
      </w:r>
      <w:r>
        <w:rPr>
          <w:rFonts w:hint="eastAsia" w:eastAsia="仿宋_GB2312"/>
          <w:sz w:val="32"/>
          <w:szCs w:val="24"/>
        </w:rPr>
        <w:t>将养老服务事业发展经费列入财政预算，设立养老服务发展专项资金。根据省、市养老服务业专项资金补助政策，配套出台我区补助政策，规范高效做好补助项目审核审批，严格落实“随时受理、及时审批、即时拨付”要求，不断完善政策供给和监管机制。协调推动用地保障、税费减免、水电气暖等方面的优惠扶持政策落地生效，营造良好的创建环境。</w:t>
      </w:r>
    </w:p>
    <w:p>
      <w:pPr>
        <w:keepNext w:val="0"/>
        <w:keepLines w:val="0"/>
        <w:pageBreakBefore w:val="0"/>
        <w:widowControl w:val="0"/>
        <w:kinsoku/>
        <w:wordWrap/>
        <w:overflowPunct/>
        <w:topLinePunct w:val="0"/>
        <w:autoSpaceDE/>
        <w:autoSpaceDN/>
        <w:bidi w:val="0"/>
        <w:adjustRightInd/>
        <w:snapToGrid w:val="0"/>
        <w:spacing w:line="600" w:lineRule="exact"/>
        <w:ind w:firstLine="630" w:firstLineChars="200"/>
        <w:textAlignment w:val="auto"/>
        <w:rPr>
          <w:rFonts w:eastAsia="仿宋_GB2312"/>
          <w:sz w:val="32"/>
          <w:szCs w:val="24"/>
        </w:rPr>
      </w:pPr>
      <w:r>
        <w:rPr>
          <w:rFonts w:ascii="Times New Roman" w:hAnsi="Times New Roman" w:eastAsia="楷体_GB2312" w:cs="Times New Roman"/>
          <w:bCs/>
          <w:kern w:val="2"/>
          <w:sz w:val="32"/>
          <w:szCs w:val="32"/>
          <w:lang w:val="en-US" w:eastAsia="zh-CN" w:bidi="ar-SA"/>
        </w:rPr>
        <w:t>（三）加强宣传引导。</w:t>
      </w:r>
      <w:r>
        <w:rPr>
          <w:rFonts w:hint="eastAsia" w:eastAsia="仿宋_GB2312"/>
          <w:sz w:val="32"/>
          <w:szCs w:val="32"/>
        </w:rPr>
        <w:t>畅通信息沟通报送渠道，及时报告创建工作动态和阶段性成果，</w:t>
      </w:r>
      <w:r>
        <w:rPr>
          <w:rFonts w:eastAsia="仿宋_GB2312"/>
          <w:sz w:val="32"/>
          <w:szCs w:val="32"/>
        </w:rPr>
        <w:t>充分利用政府网站、新媒体平台等，做好养老服务政策宣传和政策解读，畅通意见建议反馈渠道。定期开展养老服务需求分析和社会满意度调查，妥善回应社会关切。</w:t>
      </w:r>
      <w:r>
        <w:rPr>
          <w:rFonts w:hint="eastAsia" w:eastAsia="仿宋_GB2312"/>
          <w:sz w:val="32"/>
          <w:szCs w:val="32"/>
        </w:rPr>
        <w:t>及时总结创建过程中的好经验、好做法，加大</w:t>
      </w:r>
      <w:r>
        <w:rPr>
          <w:rFonts w:eastAsia="仿宋_GB2312"/>
          <w:sz w:val="32"/>
          <w:szCs w:val="24"/>
        </w:rPr>
        <w:t>典型</w:t>
      </w:r>
      <w:r>
        <w:rPr>
          <w:rFonts w:hint="eastAsia" w:eastAsia="仿宋_GB2312"/>
          <w:sz w:val="32"/>
          <w:szCs w:val="24"/>
        </w:rPr>
        <w:t>案例的宣传推广，务求实效，确保创建成果扎实有效</w:t>
      </w:r>
      <w:r>
        <w:rPr>
          <w:rFonts w:eastAsia="仿宋_GB2312"/>
          <w:sz w:val="32"/>
          <w:szCs w:val="24"/>
        </w:rPr>
        <w:t>。</w:t>
      </w:r>
    </w:p>
    <w:p>
      <w:pPr>
        <w:keepNext w:val="0"/>
        <w:keepLines w:val="0"/>
        <w:pageBreakBefore w:val="0"/>
        <w:widowControl w:val="0"/>
        <w:kinsoku/>
        <w:wordWrap/>
        <w:overflowPunct/>
        <w:topLinePunct w:val="0"/>
        <w:autoSpaceDE/>
        <w:autoSpaceDN/>
        <w:bidi w:val="0"/>
        <w:adjustRightInd/>
        <w:snapToGrid w:val="0"/>
        <w:spacing w:line="600" w:lineRule="exact"/>
        <w:ind w:firstLine="630" w:firstLineChars="200"/>
        <w:textAlignment w:val="auto"/>
        <w:rPr>
          <w:rFonts w:hint="eastAsia" w:eastAsia="仿宋_GB2312"/>
          <w:sz w:val="32"/>
          <w:szCs w:val="24"/>
        </w:rPr>
      </w:pPr>
    </w:p>
    <w:p>
      <w:pPr>
        <w:keepNext w:val="0"/>
        <w:keepLines w:val="0"/>
        <w:pageBreakBefore w:val="0"/>
        <w:widowControl w:val="0"/>
        <w:kinsoku/>
        <w:wordWrap/>
        <w:overflowPunct/>
        <w:topLinePunct w:val="0"/>
        <w:autoSpaceDE/>
        <w:autoSpaceDN/>
        <w:bidi w:val="0"/>
        <w:adjustRightInd/>
        <w:snapToGrid w:val="0"/>
        <w:spacing w:line="600" w:lineRule="exact"/>
        <w:ind w:firstLine="630" w:firstLineChars="200"/>
        <w:textAlignment w:val="auto"/>
        <w:rPr>
          <w:rFonts w:eastAsia="仿宋_GB2312"/>
          <w:sz w:val="32"/>
          <w:szCs w:val="24"/>
        </w:rPr>
      </w:pPr>
      <w:r>
        <w:rPr>
          <w:rFonts w:hint="eastAsia" w:eastAsia="仿宋_GB2312"/>
          <w:sz w:val="32"/>
          <w:szCs w:val="24"/>
        </w:rPr>
        <w:t>附</w:t>
      </w:r>
      <w:r>
        <w:rPr>
          <w:rFonts w:hint="eastAsia" w:eastAsia="仿宋_GB2312"/>
          <w:sz w:val="32"/>
          <w:szCs w:val="24"/>
          <w:lang w:eastAsia="zh-CN"/>
        </w:rPr>
        <w:t>件</w:t>
      </w:r>
      <w:r>
        <w:rPr>
          <w:rFonts w:hint="eastAsia" w:eastAsia="仿宋_GB2312"/>
          <w:sz w:val="32"/>
          <w:szCs w:val="24"/>
        </w:rPr>
        <w:t>：泰山区创建</w:t>
      </w:r>
      <w:r>
        <w:rPr>
          <w:rFonts w:hint="eastAsia" w:eastAsia="仿宋_GB2312"/>
          <w:sz w:val="32"/>
          <w:szCs w:val="24"/>
          <w:lang w:eastAsia="zh-CN"/>
        </w:rPr>
        <w:t>全省</w:t>
      </w:r>
      <w:r>
        <w:rPr>
          <w:rFonts w:hint="eastAsia" w:eastAsia="仿宋_GB2312"/>
          <w:sz w:val="32"/>
          <w:szCs w:val="24"/>
        </w:rPr>
        <w:t>县域养老服务体系创新示范区工作领导小组人员名单</w:t>
      </w:r>
    </w:p>
    <w:p>
      <w:pPr>
        <w:keepNext w:val="0"/>
        <w:keepLines w:val="0"/>
        <w:pageBreakBefore w:val="0"/>
        <w:widowControl w:val="0"/>
        <w:kinsoku/>
        <w:wordWrap/>
        <w:overflowPunct/>
        <w:topLinePunct w:val="0"/>
        <w:autoSpaceDE/>
        <w:autoSpaceDN/>
        <w:bidi w:val="0"/>
        <w:adjustRightInd/>
        <w:spacing w:line="600" w:lineRule="exact"/>
        <w:textAlignment w:val="auto"/>
      </w:pPr>
    </w:p>
    <w:p>
      <w:pPr>
        <w:pStyle w:val="2"/>
        <w:keepNext w:val="0"/>
        <w:keepLines w:val="0"/>
        <w:pageBreakBefore w:val="0"/>
        <w:widowControl w:val="0"/>
        <w:kinsoku/>
        <w:wordWrap/>
        <w:overflowPunct/>
        <w:topLinePunct w:val="0"/>
        <w:autoSpaceDE/>
        <w:autoSpaceDN/>
        <w:bidi w:val="0"/>
        <w:adjustRightInd/>
        <w:spacing w:line="560" w:lineRule="exact"/>
        <w:textAlignment w:val="auto"/>
      </w:pPr>
    </w:p>
    <w:p/>
    <w:p>
      <w:pPr>
        <w:pStyle w:val="2"/>
      </w:pPr>
    </w:p>
    <w:p/>
    <w:p>
      <w:pPr>
        <w:pStyle w:val="2"/>
      </w:pPr>
    </w:p>
    <w:p/>
    <w:p>
      <w:pPr>
        <w:pStyle w:val="2"/>
      </w:pPr>
    </w:p>
    <w:p/>
    <w:p>
      <w:pPr>
        <w:pStyle w:val="2"/>
      </w:pPr>
    </w:p>
    <w:p>
      <w:pPr>
        <w:pStyle w:val="2"/>
        <w:keepNext w:val="0"/>
        <w:keepLines w:val="0"/>
        <w:pageBreakBefore w:val="0"/>
        <w:widowControl w:val="0"/>
        <w:kinsoku/>
        <w:wordWrap/>
        <w:overflowPunct/>
        <w:topLinePunct w:val="0"/>
        <w:autoSpaceDE/>
        <w:autoSpaceDN/>
        <w:bidi w:val="0"/>
        <w:adjustRightInd/>
        <w:spacing w:line="560" w:lineRule="exact"/>
        <w:ind w:left="0" w:leftChars="0"/>
        <w:textAlignment w:val="auto"/>
        <w:rPr>
          <w:rFonts w:hint="eastAsia" w:ascii="黑体" w:hAnsi="黑体" w:eastAsia="黑体" w:cs="黑体"/>
        </w:rPr>
      </w:pPr>
      <w:r>
        <w:rPr>
          <w:rFonts w:hint="eastAsia" w:ascii="黑体" w:hAnsi="黑体" w:eastAsia="黑体" w:cs="黑体"/>
        </w:rPr>
        <w:t>附件</w:t>
      </w:r>
    </w:p>
    <w:p>
      <w:pPr>
        <w:pStyle w:val="2"/>
        <w:keepNext w:val="0"/>
        <w:keepLines w:val="0"/>
        <w:pageBreakBefore w:val="0"/>
        <w:widowControl w:val="0"/>
        <w:kinsoku/>
        <w:wordWrap/>
        <w:overflowPunct/>
        <w:topLinePunct w:val="0"/>
        <w:autoSpaceDE/>
        <w:autoSpaceDN/>
        <w:bidi w:val="0"/>
        <w:adjustRightInd/>
        <w:spacing w:line="560" w:lineRule="exact"/>
        <w:textAlignment w:val="auto"/>
        <w:rPr>
          <w:sz w:val="44"/>
          <w:szCs w:val="44"/>
        </w:rPr>
      </w:pPr>
    </w:p>
    <w:p>
      <w:pPr>
        <w:pStyle w:val="2"/>
        <w:keepNext w:val="0"/>
        <w:keepLines w:val="0"/>
        <w:pageBreakBefore w:val="0"/>
        <w:widowControl w:val="0"/>
        <w:kinsoku/>
        <w:wordWrap/>
        <w:overflowPunct/>
        <w:topLinePunct w:val="0"/>
        <w:autoSpaceDE/>
        <w:autoSpaceDN/>
        <w:bidi w:val="0"/>
        <w:adjustRightInd/>
        <w:spacing w:line="560" w:lineRule="exact"/>
        <w:ind w:left="0" w:leftChars="0" w:firstLine="0" w:firstLineChars="0"/>
        <w:jc w:val="center"/>
        <w:textAlignment w:val="auto"/>
        <w:rPr>
          <w:rFonts w:hint="eastAsia" w:ascii="经典粗宋简" w:hAnsi="经典粗宋简" w:eastAsia="经典粗宋简" w:cs="经典粗宋简"/>
          <w:sz w:val="44"/>
          <w:szCs w:val="44"/>
        </w:rPr>
      </w:pPr>
      <w:r>
        <w:rPr>
          <w:rFonts w:hint="eastAsia" w:ascii="经典粗宋简" w:hAnsi="经典粗宋简" w:eastAsia="经典粗宋简" w:cs="经典粗宋简"/>
          <w:sz w:val="44"/>
          <w:szCs w:val="44"/>
        </w:rPr>
        <w:t>泰山区创建全省县域养老服务体系创新示范区工作领导小组人员名单</w:t>
      </w:r>
    </w:p>
    <w:p>
      <w:pPr>
        <w:keepNext w:val="0"/>
        <w:keepLines w:val="0"/>
        <w:pageBreakBefore w:val="0"/>
        <w:widowControl w:val="0"/>
        <w:kinsoku/>
        <w:wordWrap/>
        <w:overflowPunct/>
        <w:topLinePunct w:val="0"/>
        <w:autoSpaceDE/>
        <w:autoSpaceDN/>
        <w:bidi w:val="0"/>
        <w:adjustRightInd/>
        <w:spacing w:line="560" w:lineRule="exact"/>
        <w:ind w:firstLine="945" w:firstLineChars="300"/>
        <w:textAlignment w:val="auto"/>
        <w:rPr>
          <w:rFonts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720"/>
        <w:textAlignment w:val="auto"/>
        <w:rPr>
          <w:rFonts w:hint="eastAsia" w:ascii="仿宋_GB2312" w:eastAsia="仿宋_GB2312"/>
          <w:color w:val="000000"/>
          <w:sz w:val="32"/>
          <w:szCs w:val="32"/>
        </w:rPr>
      </w:pPr>
      <w:r>
        <w:rPr>
          <w:rFonts w:hint="eastAsia" w:ascii="黑体" w:hAnsi="黑体" w:eastAsia="黑体" w:cs="黑体"/>
          <w:sz w:val="32"/>
          <w:szCs w:val="32"/>
        </w:rPr>
        <w:t>组      长：</w:t>
      </w:r>
      <w:r>
        <w:rPr>
          <w:rFonts w:hint="eastAsia" w:ascii="仿宋_GB2312" w:eastAsia="仿宋_GB2312"/>
          <w:color w:val="000000"/>
          <w:sz w:val="32"/>
          <w:szCs w:val="32"/>
        </w:rPr>
        <w:t xml:space="preserve">张培峰  </w:t>
      </w:r>
    </w:p>
    <w:p>
      <w:pPr>
        <w:keepNext w:val="0"/>
        <w:keepLines w:val="0"/>
        <w:pageBreakBefore w:val="0"/>
        <w:widowControl w:val="0"/>
        <w:kinsoku/>
        <w:wordWrap/>
        <w:overflowPunct/>
        <w:topLinePunct w:val="0"/>
        <w:autoSpaceDE/>
        <w:autoSpaceDN/>
        <w:bidi w:val="0"/>
        <w:adjustRightInd/>
        <w:snapToGrid/>
        <w:spacing w:line="600" w:lineRule="exact"/>
        <w:ind w:firstLine="720"/>
        <w:textAlignment w:val="auto"/>
        <w:rPr>
          <w:rFonts w:ascii="仿宋_GB2312" w:eastAsia="仿宋_GB2312"/>
          <w:color w:val="000000"/>
          <w:sz w:val="32"/>
          <w:szCs w:val="32"/>
        </w:rPr>
      </w:pPr>
      <w:r>
        <w:rPr>
          <w:rFonts w:hint="eastAsia" w:ascii="黑体" w:eastAsia="黑体"/>
          <w:color w:val="000000"/>
          <w:sz w:val="32"/>
          <w:szCs w:val="32"/>
        </w:rPr>
        <w:t>副  组  长：</w:t>
      </w:r>
      <w:r>
        <w:rPr>
          <w:rFonts w:hint="eastAsia" w:ascii="仿宋_GB2312" w:eastAsia="仿宋_GB2312"/>
          <w:color w:val="000000"/>
          <w:sz w:val="32"/>
          <w:szCs w:val="32"/>
        </w:rPr>
        <w:t xml:space="preserve">苏春明  </w:t>
      </w:r>
      <w:r>
        <w:rPr>
          <w:rFonts w:hint="eastAsia" w:ascii="仿宋_GB2312" w:eastAsia="仿宋_GB2312"/>
          <w:color w:val="000000"/>
          <w:sz w:val="32"/>
          <w:szCs w:val="32"/>
          <w:lang w:eastAsia="zh-CN"/>
        </w:rPr>
        <w:t>孙一国</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 xml:space="preserve">李惠清 </w:t>
      </w:r>
      <w:r>
        <w:rPr>
          <w:rFonts w:hint="eastAsia" w:ascii="仿宋_GB2312" w:eastAsia="仿宋_GB2312"/>
          <w:color w:val="FF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720"/>
        <w:jc w:val="left"/>
        <w:textAlignment w:val="auto"/>
        <w:rPr>
          <w:rFonts w:ascii="仿宋_GB2312" w:eastAsia="仿宋_GB2312"/>
          <w:sz w:val="32"/>
          <w:szCs w:val="32"/>
        </w:rPr>
      </w:pPr>
      <w:r>
        <w:rPr>
          <w:rFonts w:hint="eastAsia" w:ascii="黑体" w:eastAsia="黑体"/>
          <w:color w:val="000000"/>
          <w:sz w:val="32"/>
          <w:szCs w:val="32"/>
        </w:rPr>
        <w:t>成      员：</w:t>
      </w:r>
      <w:r>
        <w:rPr>
          <w:rFonts w:hint="eastAsia" w:ascii="仿宋_GB2312" w:eastAsia="仿宋_GB2312"/>
          <w:sz w:val="32"/>
          <w:szCs w:val="32"/>
        </w:rPr>
        <w:t>温永泉  区委宣传部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2624" w:firstLineChars="833"/>
        <w:jc w:val="left"/>
        <w:textAlignment w:val="auto"/>
        <w:rPr>
          <w:rFonts w:hint="eastAsia" w:ascii="仿宋_GB2312" w:eastAsia="仿宋_GB2312"/>
          <w:color w:val="000000"/>
          <w:sz w:val="32"/>
          <w:szCs w:val="32"/>
        </w:rPr>
      </w:pPr>
      <w:r>
        <w:rPr>
          <w:rFonts w:hint="eastAsia" w:ascii="仿宋_GB2312" w:eastAsia="仿宋_GB2312"/>
          <w:color w:val="000000"/>
          <w:sz w:val="32"/>
          <w:szCs w:val="32"/>
        </w:rPr>
        <w:t>赵  健  区发展</w:t>
      </w:r>
      <w:r>
        <w:rPr>
          <w:rFonts w:hint="eastAsia" w:ascii="仿宋_GB2312" w:eastAsia="仿宋_GB2312"/>
          <w:color w:val="000000"/>
          <w:sz w:val="32"/>
          <w:szCs w:val="32"/>
          <w:lang w:eastAsia="zh-CN"/>
        </w:rPr>
        <w:t>和</w:t>
      </w:r>
      <w:r>
        <w:rPr>
          <w:rFonts w:hint="eastAsia" w:ascii="仿宋_GB2312" w:eastAsia="仿宋_GB2312"/>
          <w:color w:val="000000"/>
          <w:sz w:val="32"/>
          <w:szCs w:val="32"/>
        </w:rPr>
        <w:t>改革局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2624" w:firstLineChars="833"/>
        <w:jc w:val="left"/>
        <w:textAlignment w:val="auto"/>
        <w:rPr>
          <w:rFonts w:hint="eastAsia" w:ascii="仿宋_GB2312" w:eastAsia="仿宋_GB2312"/>
          <w:color w:val="000000"/>
          <w:sz w:val="32"/>
          <w:szCs w:val="32"/>
        </w:rPr>
      </w:pPr>
      <w:r>
        <w:rPr>
          <w:rFonts w:hint="eastAsia" w:ascii="仿宋_GB2312" w:eastAsia="仿宋_GB2312"/>
          <w:color w:val="000000"/>
          <w:sz w:val="32"/>
          <w:szCs w:val="32"/>
        </w:rPr>
        <w:t>霍  蕾  区工业和信息化局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2624" w:firstLineChars="833"/>
        <w:jc w:val="left"/>
        <w:textAlignment w:val="auto"/>
        <w:rPr>
          <w:rFonts w:ascii="仿宋_GB2312" w:eastAsia="仿宋_GB2312"/>
          <w:color w:val="000000"/>
          <w:sz w:val="32"/>
          <w:szCs w:val="32"/>
        </w:rPr>
      </w:pPr>
      <w:r>
        <w:rPr>
          <w:rFonts w:hint="eastAsia" w:ascii="仿宋_GB2312" w:eastAsia="仿宋_GB2312"/>
          <w:color w:val="000000"/>
          <w:sz w:val="32"/>
          <w:szCs w:val="32"/>
        </w:rPr>
        <w:t xml:space="preserve">冯  立  区财政局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2624" w:firstLineChars="833"/>
        <w:jc w:val="left"/>
        <w:textAlignment w:val="auto"/>
        <w:rPr>
          <w:rFonts w:ascii="仿宋_GB2312" w:eastAsia="仿宋_GB2312" w:cs="宋体"/>
          <w:color w:val="000000"/>
          <w:kern w:val="0"/>
          <w:sz w:val="32"/>
          <w:szCs w:val="32"/>
        </w:rPr>
      </w:pPr>
      <w:r>
        <w:rPr>
          <w:rFonts w:hint="eastAsia" w:ascii="仿宋_GB2312" w:eastAsia="仿宋_GB2312" w:cs="宋体"/>
          <w:color w:val="000000"/>
          <w:kern w:val="0"/>
          <w:sz w:val="32"/>
          <w:szCs w:val="32"/>
        </w:rPr>
        <w:t>杨正伟  区人力资源和社会保障局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2624" w:firstLineChars="833"/>
        <w:jc w:val="left"/>
        <w:textAlignment w:val="auto"/>
        <w:rPr>
          <w:rFonts w:ascii="仿宋_GB2312" w:eastAsia="仿宋_GB2312"/>
          <w:color w:val="000000"/>
          <w:sz w:val="32"/>
          <w:szCs w:val="32"/>
        </w:rPr>
      </w:pPr>
      <w:r>
        <w:rPr>
          <w:rFonts w:hint="eastAsia" w:ascii="仿宋_GB2312" w:eastAsia="仿宋_GB2312"/>
          <w:color w:val="000000"/>
          <w:sz w:val="32"/>
          <w:szCs w:val="32"/>
        </w:rPr>
        <w:t>杨洪柱  区自然资源局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2624" w:firstLineChars="833"/>
        <w:jc w:val="left"/>
        <w:textAlignment w:val="auto"/>
        <w:rPr>
          <w:rFonts w:ascii="仿宋_GB2312" w:eastAsia="仿宋_GB2312" w:cs="宋体"/>
          <w:color w:val="000000"/>
          <w:kern w:val="0"/>
          <w:sz w:val="32"/>
          <w:szCs w:val="32"/>
        </w:rPr>
      </w:pPr>
      <w:r>
        <w:rPr>
          <w:rFonts w:hint="eastAsia" w:ascii="仿宋_GB2312" w:eastAsia="仿宋_GB2312"/>
          <w:color w:val="000000"/>
          <w:sz w:val="32"/>
          <w:szCs w:val="32"/>
        </w:rPr>
        <w:t xml:space="preserve">吴广庆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区住房和城乡建设局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2624" w:firstLineChars="833"/>
        <w:jc w:val="left"/>
        <w:textAlignment w:val="auto"/>
      </w:pPr>
      <w:r>
        <w:rPr>
          <w:rFonts w:hint="eastAsia" w:ascii="仿宋_GB2312" w:eastAsia="仿宋_GB2312"/>
          <w:color w:val="000000"/>
          <w:sz w:val="32"/>
          <w:szCs w:val="32"/>
        </w:rPr>
        <w:t>高  磊  区文化和旅游局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2624" w:firstLineChars="833"/>
        <w:jc w:val="left"/>
        <w:textAlignment w:val="auto"/>
        <w:rPr>
          <w:rFonts w:ascii="仿宋_GB2312" w:eastAsia="仿宋_GB2312"/>
          <w:color w:val="000000"/>
          <w:sz w:val="32"/>
          <w:szCs w:val="32"/>
        </w:rPr>
      </w:pPr>
      <w:r>
        <w:rPr>
          <w:rFonts w:hint="eastAsia" w:ascii="仿宋_GB2312" w:eastAsia="仿宋_GB2312" w:cs="宋体"/>
          <w:color w:val="000000"/>
          <w:kern w:val="0"/>
          <w:sz w:val="32"/>
          <w:szCs w:val="32"/>
        </w:rPr>
        <w:t>杨卫兵</w:t>
      </w:r>
      <w:r>
        <w:rPr>
          <w:rFonts w:hint="eastAsia" w:ascii="仿宋_GB2312" w:eastAsia="仿宋_GB2312"/>
          <w:color w:val="000000"/>
          <w:sz w:val="32"/>
          <w:szCs w:val="32"/>
        </w:rPr>
        <w:t xml:space="preserve">  区卫生健康局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2624" w:firstLineChars="833"/>
        <w:jc w:val="left"/>
        <w:textAlignment w:val="auto"/>
        <w:rPr>
          <w:rFonts w:ascii="仿宋_GB2312" w:eastAsia="仿宋_GB2312"/>
          <w:color w:val="000000"/>
          <w:sz w:val="32"/>
          <w:szCs w:val="32"/>
        </w:rPr>
      </w:pPr>
      <w:r>
        <w:rPr>
          <w:rFonts w:hint="eastAsia" w:ascii="仿宋_GB2312" w:eastAsia="仿宋_GB2312"/>
          <w:color w:val="000000"/>
          <w:sz w:val="32"/>
          <w:szCs w:val="32"/>
        </w:rPr>
        <w:t>宋利民  区应急管理局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2624" w:firstLineChars="833"/>
        <w:jc w:val="left"/>
        <w:textAlignment w:val="auto"/>
        <w:rPr>
          <w:rFonts w:ascii="仿宋_GB2312" w:eastAsia="仿宋_GB2312"/>
          <w:color w:val="000000"/>
          <w:sz w:val="32"/>
          <w:szCs w:val="32"/>
        </w:rPr>
      </w:pPr>
      <w:r>
        <w:rPr>
          <w:rFonts w:hint="eastAsia" w:ascii="仿宋_GB2312" w:eastAsia="仿宋_GB2312"/>
          <w:color w:val="000000"/>
          <w:sz w:val="32"/>
          <w:szCs w:val="32"/>
        </w:rPr>
        <w:t>丁大伟  区行政审批</w:t>
      </w:r>
      <w:r>
        <w:rPr>
          <w:rFonts w:hint="eastAsia" w:ascii="仿宋_GB2312" w:eastAsia="仿宋_GB2312"/>
          <w:color w:val="000000"/>
          <w:sz w:val="32"/>
          <w:szCs w:val="32"/>
          <w:lang w:eastAsia="zh-CN"/>
        </w:rPr>
        <w:t>服务</w:t>
      </w:r>
      <w:r>
        <w:rPr>
          <w:rFonts w:hint="eastAsia" w:ascii="仿宋_GB2312" w:eastAsia="仿宋_GB2312"/>
          <w:color w:val="000000"/>
          <w:sz w:val="32"/>
          <w:szCs w:val="32"/>
        </w:rPr>
        <w:t>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2624" w:firstLineChars="833"/>
        <w:jc w:val="left"/>
        <w:textAlignment w:val="auto"/>
        <w:rPr>
          <w:rFonts w:ascii="仿宋_GB2312" w:eastAsia="仿宋_GB2312"/>
          <w:color w:val="000000"/>
          <w:sz w:val="32"/>
          <w:szCs w:val="32"/>
        </w:rPr>
      </w:pPr>
      <w:r>
        <w:rPr>
          <w:rFonts w:hint="eastAsia" w:ascii="仿宋_GB2312" w:eastAsia="仿宋_GB2312"/>
          <w:color w:val="000000"/>
          <w:sz w:val="32"/>
          <w:szCs w:val="32"/>
        </w:rPr>
        <w:t>武永明  区市场监督管理局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2624" w:firstLineChars="833"/>
        <w:jc w:val="left"/>
        <w:textAlignment w:val="auto"/>
        <w:rPr>
          <w:rFonts w:ascii="仿宋_GB2312" w:eastAsia="仿宋_GB2312"/>
          <w:color w:val="000000"/>
          <w:sz w:val="32"/>
          <w:szCs w:val="32"/>
        </w:rPr>
      </w:pPr>
      <w:r>
        <w:rPr>
          <w:rFonts w:hint="eastAsia" w:ascii="仿宋_GB2312" w:eastAsia="仿宋_GB2312"/>
          <w:color w:val="000000"/>
          <w:sz w:val="32"/>
          <w:szCs w:val="32"/>
        </w:rPr>
        <w:t>朱  杰  区医疗保障局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2624" w:firstLineChars="833"/>
        <w:jc w:val="left"/>
        <w:textAlignment w:val="auto"/>
        <w:rPr>
          <w:rFonts w:ascii="仿宋_GB2312" w:eastAsia="仿宋_GB2312"/>
          <w:color w:val="000000"/>
          <w:sz w:val="32"/>
          <w:szCs w:val="32"/>
        </w:rPr>
      </w:pPr>
      <w:r>
        <w:rPr>
          <w:rFonts w:hint="eastAsia" w:ascii="仿宋_GB2312" w:eastAsia="仿宋_GB2312"/>
          <w:color w:val="000000"/>
          <w:sz w:val="32"/>
          <w:szCs w:val="32"/>
        </w:rPr>
        <w:t>魏  伟  区消防救援大队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2624" w:firstLineChars="833"/>
        <w:jc w:val="left"/>
        <w:textAlignment w:val="auto"/>
        <w:rPr>
          <w:rFonts w:ascii="仿宋_GB2312" w:eastAsia="仿宋_GB2312"/>
          <w:color w:val="000000"/>
          <w:sz w:val="32"/>
          <w:szCs w:val="32"/>
        </w:rPr>
      </w:pPr>
      <w:r>
        <w:rPr>
          <w:rFonts w:hint="eastAsia" w:ascii="仿宋_GB2312" w:eastAsia="仿宋_GB2312"/>
          <w:color w:val="000000"/>
          <w:sz w:val="32"/>
          <w:szCs w:val="32"/>
        </w:rPr>
        <w:t xml:space="preserve">徐  庆  财源街道办事处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2624" w:firstLineChars="833"/>
        <w:jc w:val="left"/>
        <w:textAlignment w:val="auto"/>
        <w:rPr>
          <w:rFonts w:ascii="仿宋_GB2312" w:eastAsia="仿宋_GB2312"/>
          <w:color w:val="000000"/>
          <w:sz w:val="32"/>
          <w:szCs w:val="32"/>
        </w:rPr>
      </w:pPr>
      <w:r>
        <w:rPr>
          <w:rFonts w:hint="eastAsia" w:ascii="仿宋_GB2312" w:eastAsia="仿宋_GB2312"/>
          <w:color w:val="000000"/>
          <w:sz w:val="32"/>
          <w:szCs w:val="32"/>
        </w:rPr>
        <w:t>高  强  岱庙街道办事处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2624" w:firstLineChars="833"/>
        <w:jc w:val="left"/>
        <w:textAlignment w:val="auto"/>
        <w:rPr>
          <w:rFonts w:ascii="仿宋_GB2312" w:eastAsia="仿宋_GB2312"/>
          <w:color w:val="000000"/>
          <w:sz w:val="32"/>
          <w:szCs w:val="32"/>
        </w:rPr>
      </w:pPr>
      <w:r>
        <w:rPr>
          <w:rFonts w:hint="eastAsia" w:ascii="仿宋_GB2312" w:eastAsia="仿宋_GB2312"/>
          <w:color w:val="000000"/>
          <w:sz w:val="32"/>
          <w:szCs w:val="32"/>
        </w:rPr>
        <w:t>张永智  泰前街道办事处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2624" w:firstLineChars="833"/>
        <w:jc w:val="left"/>
        <w:textAlignment w:val="auto"/>
        <w:rPr>
          <w:rFonts w:ascii="仿宋_GB2312" w:eastAsia="仿宋_GB2312"/>
          <w:color w:val="000000"/>
          <w:sz w:val="32"/>
          <w:szCs w:val="32"/>
        </w:rPr>
      </w:pPr>
      <w:r>
        <w:rPr>
          <w:rFonts w:hint="eastAsia" w:ascii="仿宋_GB2312" w:eastAsia="仿宋_GB2312"/>
          <w:color w:val="000000"/>
          <w:sz w:val="32"/>
          <w:szCs w:val="32"/>
        </w:rPr>
        <w:t>姜  剑  上高街道办事处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2624" w:firstLineChars="833"/>
        <w:jc w:val="left"/>
        <w:textAlignment w:val="auto"/>
        <w:rPr>
          <w:rFonts w:hint="eastAsia" w:ascii="仿宋_GB2312" w:eastAsia="仿宋_GB2312"/>
          <w:color w:val="000000"/>
          <w:sz w:val="32"/>
          <w:szCs w:val="32"/>
        </w:rPr>
      </w:pPr>
      <w:r>
        <w:rPr>
          <w:rFonts w:hint="eastAsia" w:ascii="仿宋_GB2312" w:eastAsia="仿宋_GB2312"/>
          <w:color w:val="000000"/>
          <w:sz w:val="32"/>
          <w:szCs w:val="32"/>
        </w:rPr>
        <w:t>徐  刚  徐家楼街道办事处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2624" w:firstLineChars="833"/>
        <w:jc w:val="left"/>
        <w:textAlignment w:val="auto"/>
        <w:rPr>
          <w:rFonts w:hint="eastAsia" w:ascii="仿宋_GB2312" w:eastAsia="仿宋_GB2312"/>
          <w:color w:val="000000"/>
          <w:sz w:val="32"/>
          <w:szCs w:val="32"/>
        </w:rPr>
      </w:pPr>
      <w:r>
        <w:rPr>
          <w:rFonts w:hint="eastAsia" w:ascii="仿宋_GB2312" w:eastAsia="仿宋_GB2312"/>
          <w:color w:val="000000"/>
          <w:sz w:val="32"/>
          <w:szCs w:val="32"/>
        </w:rPr>
        <w:t>李  慧  省庄镇</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2624" w:firstLineChars="833"/>
        <w:jc w:val="left"/>
        <w:textAlignment w:val="auto"/>
        <w:rPr>
          <w:rFonts w:ascii="仿宋_GB2312" w:eastAsia="仿宋_GB2312"/>
          <w:color w:val="000000"/>
          <w:sz w:val="32"/>
          <w:szCs w:val="32"/>
        </w:rPr>
      </w:pPr>
      <w:r>
        <w:rPr>
          <w:rFonts w:hint="eastAsia" w:ascii="仿宋_GB2312" w:eastAsia="仿宋_GB2312"/>
          <w:color w:val="000000"/>
          <w:sz w:val="32"/>
          <w:szCs w:val="32"/>
        </w:rPr>
        <w:t>尹  凯  邱家店镇</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领导小组办公室设在区民政局，李惠清同志兼任办公室主任，统筹负责创建工作的指导、协调和督促。</w:t>
      </w:r>
    </w:p>
    <w:p>
      <w:pPr>
        <w:rPr>
          <w:rFonts w:hint="eastAsia" w:ascii="仿宋_GB2312" w:hAnsi="仿宋_GB2312" w:eastAsia="仿宋_GB2312" w:cs="仿宋_GB2312"/>
          <w:sz w:val="32"/>
          <w:szCs w:val="32"/>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sectPr>
          <w:footerReference r:id="rId3" w:type="default"/>
          <w:pgSz w:w="11906" w:h="16838"/>
          <w:pgMar w:top="1984" w:right="1531" w:bottom="1531" w:left="1531" w:header="851" w:footer="1247" w:gutter="0"/>
          <w:paperSrc/>
          <w:pgNumType w:fmt="decimal"/>
          <w:cols w:space="0" w:num="1"/>
          <w:rtlGutter w:val="0"/>
          <w:docGrid w:type="linesAndChars" w:linePitch="319" w:charSpace="-1153"/>
        </w:sectPr>
      </w:pPr>
    </w:p>
    <w:p>
      <w:pPr>
        <w:rPr>
          <w:rFonts w:hint="eastAsia"/>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5"/>
        <w:keepNext w:val="0"/>
        <w:keepLines w:val="0"/>
        <w:pageBreakBefore w:val="0"/>
        <w:widowControl w:val="0"/>
        <w:kinsoku/>
        <w:wordWrap/>
        <w:overflowPunct/>
        <w:topLinePunct w:val="0"/>
        <w:autoSpaceDE/>
        <w:autoSpaceDN/>
        <w:bidi w:val="0"/>
        <w:adjustRightInd/>
        <w:snapToGrid/>
        <w:spacing w:line="580" w:lineRule="exact"/>
        <w:ind w:firstLine="630" w:firstLineChars="200"/>
        <w:textAlignment w:val="auto"/>
        <w:rPr>
          <w:rFonts w:hint="eastAsia" w:ascii="仿宋_GB2312" w:hAnsi="仿宋_GB2312" w:eastAsia="仿宋_GB2312" w:cs="仿宋_GB2312"/>
          <w:kern w:val="0"/>
          <w:sz w:val="32"/>
          <w:szCs w:val="32"/>
        </w:rPr>
      </w:pPr>
    </w:p>
    <w:p>
      <w:pPr>
        <w:pStyle w:val="9"/>
        <w:spacing w:before="0" w:beforeAutospacing="0" w:after="0" w:afterAutospacing="0" w:line="120" w:lineRule="exact"/>
        <w:rPr>
          <w:rFonts w:ascii="仿宋_GB2312" w:hAnsi="仿宋"/>
          <w:sz w:val="32"/>
          <w:szCs w:val="32"/>
        </w:rPr>
      </w:pPr>
    </w:p>
    <w:p>
      <w:pPr>
        <w:pStyle w:val="9"/>
        <w:spacing w:before="0" w:beforeAutospacing="0" w:after="0" w:afterAutospacing="0" w:line="120" w:lineRule="exact"/>
        <w:rPr>
          <w:rFonts w:ascii="仿宋_GB2312" w:hAnsi="仿宋"/>
          <w:sz w:val="32"/>
          <w:szCs w:val="32"/>
        </w:rPr>
      </w:pPr>
    </w:p>
    <w:p>
      <w:pPr>
        <w:pStyle w:val="9"/>
        <w:spacing w:before="0" w:beforeAutospacing="0" w:after="0" w:afterAutospacing="0" w:line="120" w:lineRule="exact"/>
        <w:rPr>
          <w:rFonts w:ascii="仿宋_GB2312" w:hAnsi="仿宋"/>
          <w:sz w:val="32"/>
          <w:szCs w:val="32"/>
        </w:rPr>
      </w:pPr>
    </w:p>
    <w:p>
      <w:pPr>
        <w:pStyle w:val="9"/>
        <w:spacing w:before="0" w:beforeAutospacing="0" w:after="0" w:afterAutospacing="0" w:line="120" w:lineRule="exact"/>
        <w:rPr>
          <w:rFonts w:ascii="仿宋_GB2312" w:hAnsi="仿宋"/>
          <w:sz w:val="32"/>
          <w:szCs w:val="32"/>
        </w:rPr>
      </w:pPr>
    </w:p>
    <w:p>
      <w:pPr>
        <w:pStyle w:val="9"/>
        <w:spacing w:before="0" w:beforeAutospacing="0" w:after="0" w:afterAutospacing="0" w:line="120" w:lineRule="exact"/>
        <w:rPr>
          <w:rFonts w:ascii="仿宋_GB2312" w:hAnsi="仿宋"/>
          <w:sz w:val="32"/>
          <w:szCs w:val="32"/>
        </w:rPr>
      </w:pPr>
    </w:p>
    <w:p>
      <w:pPr>
        <w:pStyle w:val="9"/>
        <w:spacing w:before="0" w:beforeAutospacing="0" w:after="0" w:afterAutospacing="0" w:line="120" w:lineRule="exact"/>
        <w:rPr>
          <w:rFonts w:ascii="仿宋_GB2312" w:hAnsi="仿宋"/>
          <w:sz w:val="32"/>
          <w:szCs w:val="32"/>
        </w:rPr>
      </w:pPr>
    </w:p>
    <w:p>
      <w:pPr>
        <w:pStyle w:val="9"/>
        <w:spacing w:before="0" w:beforeAutospacing="0" w:after="0" w:afterAutospacing="0" w:line="120" w:lineRule="exact"/>
        <w:rPr>
          <w:rFonts w:ascii="仿宋_GB2312" w:hAnsi="仿宋"/>
          <w:sz w:val="32"/>
          <w:szCs w:val="32"/>
        </w:rPr>
      </w:pPr>
    </w:p>
    <w:p>
      <w:pPr>
        <w:pStyle w:val="9"/>
        <w:spacing w:before="0" w:beforeAutospacing="0" w:after="0" w:afterAutospacing="0" w:line="120" w:lineRule="exact"/>
        <w:rPr>
          <w:rFonts w:ascii="仿宋_GB2312" w:hAnsi="仿宋"/>
          <w:sz w:val="32"/>
          <w:szCs w:val="32"/>
        </w:rPr>
      </w:pPr>
    </w:p>
    <w:p>
      <w:pPr>
        <w:pStyle w:val="9"/>
        <w:spacing w:before="0" w:beforeAutospacing="0" w:after="0" w:afterAutospacing="0" w:line="120" w:lineRule="exact"/>
        <w:rPr>
          <w:rFonts w:ascii="仿宋_GB2312" w:hAnsi="仿宋"/>
          <w:sz w:val="32"/>
          <w:szCs w:val="32"/>
        </w:rPr>
      </w:pPr>
    </w:p>
    <w:p>
      <w:pPr>
        <w:pStyle w:val="9"/>
        <w:spacing w:before="0" w:beforeAutospacing="0" w:after="0" w:afterAutospacing="0" w:line="120" w:lineRule="exact"/>
        <w:rPr>
          <w:rFonts w:ascii="仿宋_GB2312" w:hAnsi="仿宋"/>
          <w:sz w:val="32"/>
          <w:szCs w:val="32"/>
        </w:rPr>
      </w:pPr>
    </w:p>
    <w:p>
      <w:pPr>
        <w:pStyle w:val="9"/>
        <w:spacing w:before="0" w:beforeAutospacing="0" w:after="0" w:afterAutospacing="0" w:line="120" w:lineRule="exact"/>
        <w:rPr>
          <w:rFonts w:ascii="仿宋_GB2312" w:hAnsi="仿宋"/>
          <w:sz w:val="32"/>
          <w:szCs w:val="32"/>
        </w:rPr>
      </w:pPr>
    </w:p>
    <w:p>
      <w:pPr>
        <w:pStyle w:val="9"/>
        <w:spacing w:before="0" w:beforeAutospacing="0" w:after="0" w:afterAutospacing="0" w:line="120" w:lineRule="exact"/>
        <w:rPr>
          <w:rFonts w:ascii="仿宋_GB2312" w:hAnsi="仿宋"/>
          <w:sz w:val="32"/>
          <w:szCs w:val="32"/>
        </w:rPr>
      </w:pPr>
    </w:p>
    <w:p>
      <w:pPr>
        <w:pStyle w:val="9"/>
        <w:spacing w:before="0" w:beforeAutospacing="0" w:after="0" w:afterAutospacing="0" w:line="120" w:lineRule="exact"/>
        <w:rPr>
          <w:rFonts w:ascii="仿宋_GB2312" w:hAnsi="仿宋"/>
          <w:sz w:val="32"/>
          <w:szCs w:val="32"/>
        </w:rPr>
      </w:pPr>
    </w:p>
    <w:p>
      <w:pPr>
        <w:pStyle w:val="9"/>
        <w:spacing w:before="0" w:beforeAutospacing="0" w:after="0" w:afterAutospacing="0" w:line="120" w:lineRule="exact"/>
        <w:rPr>
          <w:rFonts w:ascii="仿宋_GB2312" w:hAnsi="仿宋"/>
          <w:sz w:val="32"/>
          <w:szCs w:val="32"/>
        </w:rPr>
      </w:pPr>
    </w:p>
    <w:p>
      <w:pPr>
        <w:pStyle w:val="9"/>
        <w:spacing w:before="0" w:beforeAutospacing="0" w:after="0" w:afterAutospacing="0" w:line="120" w:lineRule="exact"/>
        <w:rPr>
          <w:rFonts w:ascii="仿宋_GB2312" w:hAnsi="仿宋"/>
          <w:sz w:val="32"/>
          <w:szCs w:val="32"/>
        </w:rPr>
      </w:pPr>
    </w:p>
    <w:p>
      <w:pPr>
        <w:pStyle w:val="9"/>
        <w:spacing w:before="0" w:beforeAutospacing="0" w:after="0" w:afterAutospacing="0" w:line="120" w:lineRule="exact"/>
        <w:rPr>
          <w:rFonts w:ascii="仿宋_GB2312" w:hAnsi="仿宋"/>
          <w:sz w:val="32"/>
          <w:szCs w:val="32"/>
        </w:rPr>
      </w:pPr>
    </w:p>
    <w:p>
      <w:pPr>
        <w:pStyle w:val="9"/>
        <w:spacing w:before="0" w:beforeAutospacing="0" w:after="0" w:afterAutospacing="0" w:line="120" w:lineRule="exact"/>
        <w:rPr>
          <w:rFonts w:ascii="仿宋_GB2312" w:hAnsi="仿宋"/>
          <w:sz w:val="32"/>
          <w:szCs w:val="32"/>
        </w:rPr>
      </w:pPr>
    </w:p>
    <w:p>
      <w:pPr>
        <w:pStyle w:val="9"/>
        <w:spacing w:before="0" w:beforeAutospacing="0" w:after="0" w:afterAutospacing="0" w:line="120" w:lineRule="exact"/>
        <w:rPr>
          <w:rFonts w:ascii="仿宋_GB2312" w:hAnsi="仿宋"/>
          <w:sz w:val="32"/>
          <w:szCs w:val="32"/>
        </w:rPr>
      </w:pPr>
    </w:p>
    <w:p>
      <w:pPr>
        <w:pStyle w:val="9"/>
        <w:spacing w:before="0" w:beforeAutospacing="0" w:after="0" w:afterAutospacing="0" w:line="120" w:lineRule="exact"/>
        <w:rPr>
          <w:rFonts w:ascii="仿宋_GB2312" w:hAnsi="仿宋"/>
          <w:sz w:val="32"/>
          <w:szCs w:val="32"/>
        </w:rPr>
      </w:pPr>
    </w:p>
    <w:p>
      <w:pPr>
        <w:pStyle w:val="9"/>
        <w:spacing w:before="0" w:beforeAutospacing="0" w:after="0" w:afterAutospacing="0" w:line="120" w:lineRule="exact"/>
        <w:rPr>
          <w:rFonts w:ascii="仿宋_GB2312" w:hAnsi="仿宋"/>
          <w:sz w:val="32"/>
          <w:szCs w:val="32"/>
        </w:rPr>
      </w:pPr>
    </w:p>
    <w:p>
      <w:pPr>
        <w:pStyle w:val="9"/>
        <w:spacing w:before="0" w:beforeAutospacing="0" w:after="0" w:afterAutospacing="0" w:line="120" w:lineRule="exact"/>
        <w:rPr>
          <w:rFonts w:ascii="仿宋_GB2312" w:hAnsi="仿宋"/>
          <w:sz w:val="32"/>
          <w:szCs w:val="32"/>
        </w:rPr>
      </w:pPr>
    </w:p>
    <w:p>
      <w:pPr>
        <w:spacing w:line="560" w:lineRule="exact"/>
        <w:ind w:left="1" w:firstLine="275" w:firstLineChars="100"/>
        <w:rPr>
          <w:rFonts w:ascii="仿宋_GB2312" w:eastAsia="仿宋_GB2312"/>
          <w:color w:val="000000"/>
          <w:sz w:val="28"/>
          <w:szCs w:val="28"/>
        </w:rPr>
      </w:pPr>
      <w:r>
        <w:rPr>
          <w:rFonts w:ascii="仿宋_GB2312" w:eastAsia="仿宋_GB2312"/>
          <w:color w:val="000000"/>
          <w:sz w:val="28"/>
          <w:szCs w:val="28"/>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25400</wp:posOffset>
                </wp:positionV>
                <wp:extent cx="566737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pt;height:0pt;width:446.25pt;mso-position-horizontal:center;z-index:251659264;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6W6D9MAAAAEAQAADwAAAAAAAAABACAAAAAiAAAAZHJzL2Rvd25yZXYueG1sUEsB&#10;AhQAFAAAAAgAh07iQGjIPXP6AQAA8gMAAA4AAAAAAAAAAQAgAAAAIgEAAGRycy9lMm9Eb2MueG1s&#10;UEsFBgAAAAAGAAYAWQEAAI4FAAAAAA==&#10;">
                <v:fill on="f" focussize="0,0"/>
                <v:stroke color="#000000" joinstyle="round"/>
                <v:imagedata o:title=""/>
                <o:lock v:ext="edit" aspectratio="f"/>
              </v:line>
            </w:pict>
          </mc:Fallback>
        </mc:AlternateContent>
      </w:r>
      <w:r>
        <w:rPr>
          <w:rFonts w:hint="eastAsia" w:ascii="仿宋_GB2312" w:eastAsia="仿宋_GB2312"/>
          <w:color w:val="000000"/>
          <w:sz w:val="28"/>
          <w:szCs w:val="28"/>
        </w:rPr>
        <w:t>抄送：区委各部门，区人大常委会办公室，区政协办公室，区监委，</w:t>
      </w:r>
    </w:p>
    <w:p>
      <w:pPr>
        <w:spacing w:line="560" w:lineRule="exact"/>
        <w:ind w:left="1" w:firstLine="1100" w:firstLineChars="400"/>
        <w:rPr>
          <w:rFonts w:ascii="仿宋_GB2312" w:eastAsia="仿宋_GB2312"/>
          <w:color w:val="000000"/>
          <w:sz w:val="28"/>
          <w:szCs w:val="28"/>
        </w:rPr>
      </w:pPr>
      <w:r>
        <w:rPr>
          <w:rFonts w:hint="eastAsia" w:ascii="仿宋_GB2312" w:eastAsia="仿宋_GB2312"/>
          <w:color w:val="000000"/>
          <w:sz w:val="28"/>
          <w:szCs w:val="28"/>
        </w:rPr>
        <w:t>区法院，</w:t>
      </w:r>
      <w:r>
        <w:rPr>
          <w:rFonts w:hint="eastAsia" w:ascii="仿宋_GB2312" w:eastAsia="仿宋_GB2312"/>
          <w:color w:val="000000"/>
          <w:spacing w:val="-4"/>
          <w:sz w:val="28"/>
          <w:szCs w:val="28"/>
        </w:rPr>
        <w:t>区</w:t>
      </w:r>
      <w:r>
        <w:rPr>
          <w:rFonts w:hint="eastAsia" w:ascii="仿宋_GB2312" w:eastAsia="仿宋_GB2312"/>
          <w:color w:val="000000"/>
          <w:sz w:val="28"/>
          <w:szCs w:val="28"/>
        </w:rPr>
        <w:t>检察院，区人武部。</w:t>
      </w:r>
    </w:p>
    <w:p>
      <w:pPr>
        <w:spacing w:line="560" w:lineRule="exact"/>
        <w:ind w:firstLine="275" w:firstLineChars="100"/>
        <w:rPr>
          <w:rFonts w:ascii="仿宋_GB2312" w:eastAsia="仿宋_GB2312"/>
          <w:color w:val="000000"/>
          <w:sz w:val="28"/>
          <w:szCs w:val="28"/>
        </w:rPr>
      </w:pPr>
      <w:r>
        <w:rPr>
          <w:rFonts w:ascii="仿宋_GB2312" w:eastAsia="仿宋_GB2312"/>
          <w:color w:val="000000"/>
          <w:sz w:val="28"/>
          <w:szCs w:val="28"/>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25400</wp:posOffset>
                </wp:positionV>
                <wp:extent cx="566737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pt;height:0pt;width:446.25pt;mso-position-horizontal:center;z-index:251660288;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7pboP0wAAAAQBAAAPAAAAAAAAAAEAIAAAACIAAABkcnMvZG93bnJldi54bWxQSwEC&#10;FAAUAAAACACHTuJAx/yu0fkBAADyAwAADgAAAAAAAAABACAAAAAiAQAAZHJzL2Uyb0RvYy54bWxQ&#10;SwUGAAAAAAYABgBZAQAAjQUAAAAA&#10;">
                <v:fill on="f" focussize="0,0"/>
                <v:stroke color="#000000" joinstyle="round"/>
                <v:imagedata o:title=""/>
                <o:lock v:ext="edit" aspectratio="f"/>
              </v:line>
            </w:pict>
          </mc:Fallback>
        </mc:AlternateContent>
      </w:r>
      <w:r>
        <w:rPr>
          <w:rFonts w:hint="eastAsia" w:ascii="仿宋_GB2312" w:eastAsia="仿宋_GB2312"/>
          <w:color w:val="000000"/>
          <w:sz w:val="28"/>
          <w:szCs w:val="28"/>
        </w:rPr>
        <w:t>泰安市泰山区人民政府办公室              202</w:t>
      </w:r>
      <w:r>
        <w:rPr>
          <w:rFonts w:hint="eastAsia" w:ascii="仿宋_GB2312" w:eastAsia="仿宋_GB2312"/>
          <w:color w:val="000000"/>
          <w:sz w:val="28"/>
          <w:szCs w:val="28"/>
          <w:lang w:val="en-US" w:eastAsia="zh-CN"/>
        </w:rPr>
        <w:t>1</w:t>
      </w:r>
      <w:r>
        <w:rPr>
          <w:rFonts w:hint="eastAsia" w:ascii="仿宋_GB2312" w:eastAsia="仿宋_GB2312"/>
          <w:color w:val="000000"/>
          <w:sz w:val="28"/>
          <w:szCs w:val="28"/>
        </w:rPr>
        <w:t>年</w:t>
      </w:r>
      <w:r>
        <w:rPr>
          <w:rFonts w:hint="eastAsia" w:ascii="仿宋_GB2312" w:eastAsia="仿宋_GB2312"/>
          <w:color w:val="000000"/>
          <w:sz w:val="28"/>
          <w:szCs w:val="28"/>
          <w:lang w:val="en-US" w:eastAsia="zh-CN"/>
        </w:rPr>
        <w:t>8</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31</w:t>
      </w:r>
      <w:r>
        <w:rPr>
          <w:rFonts w:hint="eastAsia" w:ascii="仿宋_GB2312" w:eastAsia="仿宋_GB2312"/>
          <w:color w:val="000000"/>
          <w:sz w:val="28"/>
          <w:szCs w:val="28"/>
        </w:rPr>
        <w:t xml:space="preserve">日印发  </w:t>
      </w:r>
    </w:p>
    <w:p>
      <w:pPr>
        <w:spacing w:line="240" w:lineRule="exact"/>
        <w:ind w:firstLine="630" w:firstLineChars="200"/>
        <w:rPr>
          <w:rFonts w:hint="eastAsia" w:ascii="仿宋_GB2312" w:hAnsi="仿宋_GB2312" w:eastAsia="仿宋_GB2312" w:cs="仿宋_GB2312"/>
          <w:bCs/>
          <w:color w:val="000000"/>
          <w:sz w:val="32"/>
          <w:szCs w:val="32"/>
          <w:lang w:val="en-US" w:eastAsia="zh-CN"/>
        </w:rPr>
      </w:pPr>
      <w:r>
        <w:rPr>
          <w:rFonts w:ascii="仿宋_GB2312" w:eastAsia="仿宋_GB2312"/>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-38100</wp:posOffset>
                </wp:positionH>
                <wp:positionV relativeFrom="paragraph">
                  <wp:posOffset>38100</wp:posOffset>
                </wp:positionV>
                <wp:extent cx="567309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7309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pt;margin-top:3pt;height:0.05pt;width:446.7pt;z-index:251661312;mso-width-relative:page;mso-height-relative:page;" filled="f" stroked="t" coordsize="21600,21600" o:gfxdata="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a9YHA1AAAAAYBAAAPAAAAAAAAAAEAIAAAACIAAABkcnMvZG93bnJldi54bWxQ&#10;SwECFAAUAAAACACHTuJAs2wcTvsBAAD0AwAADgAAAAAAAAABACAAAAAjAQAAZHJzL2Uyb0RvYy54&#10;bWxQSwUGAAAAAAYABgBZAQAAkAUAAAAA&#10;">
                <v:fill on="f" focussize="0,0"/>
                <v:stroke color="#000000" joinstyle="round"/>
                <v:imagedata o:title=""/>
                <o:lock v:ext="edit" aspectratio="f"/>
              </v:line>
            </w:pict>
          </mc:Fallback>
        </mc:AlternateContent>
      </w:r>
      <w:bookmarkStart w:id="0" w:name="_GoBack"/>
      <w:bookmarkEnd w:id="0"/>
    </w:p>
    <w:sectPr>
      <w:footerReference r:id="rId4" w:type="default"/>
      <w:pgSz w:w="11906" w:h="16838"/>
      <w:pgMar w:top="1984" w:right="1531" w:bottom="1531" w:left="1531" w:header="851" w:footer="1247" w:gutter="0"/>
      <w:paperSrc/>
      <w:pgNumType w:fmt="decimal"/>
      <w:cols w:space="0" w:num="1"/>
      <w:rtlGutter w:val="0"/>
      <w:docGrid w:type="linesAndChars" w:linePitch="319" w:charSpace="-11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彩云简体">
    <w:panose1 w:val="03000509000000000000"/>
    <w:charset w:val="86"/>
    <w:family w:val="auto"/>
    <w:pitch w:val="default"/>
    <w:sig w:usb0="00000001" w:usb1="080E0000" w:usb2="00000000" w:usb3="00000000" w:csb0="00040000" w:csb1="00000000"/>
  </w:font>
  <w:font w:name="方正粗宋简体">
    <w:panose1 w:val="03000509000000000000"/>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方正黑体繁体">
    <w:panose1 w:val="02010601030101010101"/>
    <w:charset w:val="86"/>
    <w:family w:val="auto"/>
    <w:pitch w:val="default"/>
    <w:sig w:usb0="00000001" w:usb1="080E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方正隶二简体">
    <w:panose1 w:val="02010601030101010101"/>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书宋繁体">
    <w:panose1 w:val="02010601030101010101"/>
    <w:charset w:val="86"/>
    <w:family w:val="auto"/>
    <w:pitch w:val="default"/>
    <w:sig w:usb0="00000001" w:usb1="080E0000" w:usb2="00000000" w:usb3="00000000" w:csb0="00040000" w:csb1="00000000"/>
  </w:font>
  <w:font w:name="方正铁筋隶书繁体">
    <w:panose1 w:val="03000509000000000000"/>
    <w:charset w:val="86"/>
    <w:family w:val="auto"/>
    <w:pitch w:val="default"/>
    <w:sig w:usb0="00000001" w:usb1="080E0000" w:usb2="00000000" w:usb3="00000000" w:csb0="00040000" w:csb1="00000000"/>
  </w:font>
  <w:font w:name="方正硬笔行书繁体">
    <w:panose1 w:val="03000509000000000000"/>
    <w:charset w:val="86"/>
    <w:family w:val="auto"/>
    <w:pitch w:val="default"/>
    <w:sig w:usb0="00000001" w:usb1="080E0000" w:usb2="00000000" w:usb3="00000000" w:csb0="00040000" w:csb1="00000000"/>
  </w:font>
  <w:font w:name="方正中等线简体">
    <w:panose1 w:val="02010601030101010101"/>
    <w:charset w:val="86"/>
    <w:family w:val="auto"/>
    <w:pitch w:val="default"/>
    <w:sig w:usb0="00000001" w:usb1="080E0000" w:usb2="00000000" w:usb3="00000000" w:csb0="00040000" w:csb1="00000000"/>
  </w:font>
  <w:font w:name="方正准圆繁体">
    <w:panose1 w:val="02010601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经典粗宋简">
    <w:panose1 w:val="02010609000101010101"/>
    <w:charset w:val="86"/>
    <w:family w:val="auto"/>
    <w:pitch w:val="default"/>
    <w:sig w:usb0="A1007AEF" w:usb1="F9DF7CFB" w:usb2="0000001E" w:usb3="00000000" w:csb0="20040000" w:csb1="00000000"/>
  </w:font>
  <w:font w:name="方正中倩繁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sdt>
                            <w:sdtPr>
                              <w:rPr>
                                <w:rFonts w:hint="eastAsia" w:asciiTheme="minorEastAsia" w:hAnsiTheme="minorEastAsia" w:eastAsiaTheme="minorEastAsia" w:cstheme="minorEastAsia"/>
                                <w:sz w:val="28"/>
                                <w:szCs w:val="28"/>
                              </w:rPr>
                              <w:id w:val="1176559217"/>
                              <w:docPartObj>
                                <w:docPartGallery w:val="autotext"/>
                              </w:docPartObj>
                            </w:sdtPr>
                            <w:sdtEndPr>
                              <w:rPr>
                                <w:rFonts w:hint="eastAsia" w:asciiTheme="minorEastAsia" w:hAnsiTheme="minorEastAsia" w:eastAsiaTheme="minorEastAsia" w:cstheme="minorEastAsia"/>
                                <w:sz w:val="28"/>
                                <w:szCs w:val="28"/>
                              </w:rPr>
                            </w:sdtEndPr>
                            <w:sdtContent>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w:t>
                              </w:r>
                              <w:r>
                                <w:rPr>
                                  <w:rFonts w:hint="eastAsia" w:asciiTheme="minorEastAsia" w:hAnsiTheme="minorEastAsia" w:eastAsiaTheme="minorEastAsia" w:cstheme="minorEastAsia"/>
                                  <w:sz w:val="28"/>
                                  <w:szCs w:val="28"/>
                                </w:rPr>
                                <w:t xml:space="preserve"> 2 -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sdtContent>
                          </w:sdt>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6"/>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sdt>
                      <w:sdtPr>
                        <w:rPr>
                          <w:rFonts w:hint="eastAsia" w:asciiTheme="minorEastAsia" w:hAnsiTheme="minorEastAsia" w:eastAsiaTheme="minorEastAsia" w:cstheme="minorEastAsia"/>
                          <w:sz w:val="28"/>
                          <w:szCs w:val="28"/>
                        </w:rPr>
                        <w:id w:val="1176559217"/>
                        <w:docPartObj>
                          <w:docPartGallery w:val="autotext"/>
                        </w:docPartObj>
                      </w:sdtPr>
                      <w:sdtEndPr>
                        <w:rPr>
                          <w:rFonts w:hint="eastAsia" w:asciiTheme="minorEastAsia" w:hAnsiTheme="minorEastAsia" w:eastAsiaTheme="minorEastAsia" w:cstheme="minorEastAsia"/>
                          <w:sz w:val="28"/>
                          <w:szCs w:val="28"/>
                        </w:rPr>
                      </w:sdtEndPr>
                      <w:sdtContent>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w:t>
                        </w:r>
                        <w:r>
                          <w:rPr>
                            <w:rFonts w:hint="eastAsia" w:asciiTheme="minorEastAsia" w:hAnsiTheme="minorEastAsia" w:eastAsiaTheme="minorEastAsia" w:cstheme="minorEastAsia"/>
                            <w:sz w:val="28"/>
                            <w:szCs w:val="28"/>
                          </w:rPr>
                          <w:t xml:space="preserve"> 2 -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sdtContent>
                    </w:sd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BEF89F"/>
    <w:multiLevelType w:val="singleLevel"/>
    <w:tmpl w:val="82BEF89F"/>
    <w:lvl w:ilvl="0" w:tentative="0">
      <w:start w:val="2"/>
      <w:numFmt w:val="chineseCounting"/>
      <w:suff w:val="nothing"/>
      <w:lvlText w:val="%1、"/>
      <w:lvlJc w:val="left"/>
      <w:rPr>
        <w:rFonts w:hint="eastAsia"/>
      </w:rPr>
    </w:lvl>
  </w:abstractNum>
  <w:abstractNum w:abstractNumId="1">
    <w:nsid w:val="A479AE17"/>
    <w:multiLevelType w:val="singleLevel"/>
    <w:tmpl w:val="A479AE17"/>
    <w:lvl w:ilvl="0" w:tentative="0">
      <w:start w:val="1"/>
      <w:numFmt w:val="chineseCounting"/>
      <w:suff w:val="nothing"/>
      <w:lvlText w:val="%1、"/>
      <w:lvlJc w:val="left"/>
      <w:pPr>
        <w:ind w:left="786" w:firstLine="0"/>
      </w:pPr>
      <w:rPr>
        <w:rFonts w:hint="eastAsia"/>
      </w:rPr>
    </w:lvl>
  </w:abstractNum>
  <w:abstractNum w:abstractNumId="2">
    <w:nsid w:val="00000001"/>
    <w:multiLevelType w:val="multilevel"/>
    <w:tmpl w:val="00000001"/>
    <w:lvl w:ilvl="0" w:tentative="0">
      <w:start w:val="1"/>
      <w:numFmt w:val="decimal"/>
      <w:lvlText w:val="%1"/>
      <w:lvlJc w:val="left"/>
      <w:pPr>
        <w:widowControl/>
        <w:ind w:left="425" w:hanging="425"/>
        <w:textAlignment w:val="baseline"/>
      </w:pPr>
    </w:lvl>
    <w:lvl w:ilvl="1" w:tentative="0">
      <w:start w:val="1"/>
      <w:numFmt w:val="decimal"/>
      <w:lvlText w:val="%1.%2"/>
      <w:lvlJc w:val="left"/>
      <w:pPr>
        <w:widowControl/>
        <w:ind w:left="992" w:hanging="567"/>
        <w:textAlignment w:val="baseline"/>
      </w:pPr>
    </w:lvl>
    <w:lvl w:ilvl="2" w:tentative="0">
      <w:start w:val="1"/>
      <w:numFmt w:val="decimal"/>
      <w:lvlText w:val="%1.%2.%3"/>
      <w:lvlJc w:val="left"/>
      <w:pPr>
        <w:widowControl/>
        <w:ind w:left="1418" w:hanging="567"/>
        <w:textAlignment w:val="baseline"/>
      </w:pPr>
    </w:lvl>
    <w:lvl w:ilvl="3" w:tentative="0">
      <w:start w:val="1"/>
      <w:numFmt w:val="decimal"/>
      <w:lvlText w:val="%1.%2.%3.%4"/>
      <w:lvlJc w:val="left"/>
      <w:pPr>
        <w:widowControl/>
        <w:ind w:left="850" w:hanging="708"/>
        <w:textAlignment w:val="baseline"/>
      </w:pPr>
    </w:lvl>
    <w:lvl w:ilvl="4" w:tentative="0">
      <w:start w:val="1"/>
      <w:numFmt w:val="decimal"/>
      <w:pStyle w:val="14"/>
      <w:lvlText w:val="%1.%2.%3.%4.%5"/>
      <w:lvlJc w:val="left"/>
      <w:pPr>
        <w:widowControl/>
        <w:ind w:left="2551" w:hanging="850"/>
        <w:textAlignment w:val="baseline"/>
      </w:pPr>
    </w:lvl>
    <w:lvl w:ilvl="5" w:tentative="0">
      <w:start w:val="1"/>
      <w:numFmt w:val="decimal"/>
      <w:lvlText w:val="%1.%2.%3.%4.%5.%6"/>
      <w:lvlJc w:val="left"/>
      <w:pPr>
        <w:widowControl/>
        <w:ind w:left="1134" w:hanging="1134"/>
        <w:textAlignment w:val="baseline"/>
      </w:pPr>
    </w:lvl>
    <w:lvl w:ilvl="6" w:tentative="0">
      <w:start w:val="1"/>
      <w:numFmt w:val="decimal"/>
      <w:lvlText w:val="%1.%2.%3.%4.%5.%6.%7"/>
      <w:lvlJc w:val="left"/>
      <w:pPr>
        <w:widowControl/>
        <w:ind w:left="3827" w:hanging="1276"/>
        <w:textAlignment w:val="baseline"/>
      </w:pPr>
    </w:lvl>
    <w:lvl w:ilvl="7" w:tentative="0">
      <w:start w:val="1"/>
      <w:numFmt w:val="decimal"/>
      <w:lvlText w:val="%1.%2.%3.%4.%5.%6.%7.%8"/>
      <w:lvlJc w:val="left"/>
      <w:pPr>
        <w:widowControl/>
        <w:ind w:left="4394" w:hanging="1418"/>
        <w:textAlignment w:val="baseline"/>
      </w:pPr>
    </w:lvl>
    <w:lvl w:ilvl="8" w:tentative="0">
      <w:start w:val="1"/>
      <w:numFmt w:val="decimal"/>
      <w:lvlText w:val="%1.%2.%3.%4.%5.%6.%7.%8.%9"/>
      <w:lvlJc w:val="left"/>
      <w:pPr>
        <w:widowControl/>
        <w:ind w:left="5102" w:hanging="1700"/>
        <w:textAlignment w:val="baseline"/>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A455BF"/>
    <w:rsid w:val="00066279"/>
    <w:rsid w:val="000877B0"/>
    <w:rsid w:val="000E17D2"/>
    <w:rsid w:val="00107756"/>
    <w:rsid w:val="00254C41"/>
    <w:rsid w:val="00295999"/>
    <w:rsid w:val="00362CA4"/>
    <w:rsid w:val="00395AAA"/>
    <w:rsid w:val="004C211F"/>
    <w:rsid w:val="005647DB"/>
    <w:rsid w:val="00610955"/>
    <w:rsid w:val="00621F52"/>
    <w:rsid w:val="00673090"/>
    <w:rsid w:val="00714D1A"/>
    <w:rsid w:val="007309EB"/>
    <w:rsid w:val="007C0ABF"/>
    <w:rsid w:val="007C61C9"/>
    <w:rsid w:val="00837B1D"/>
    <w:rsid w:val="008A1A73"/>
    <w:rsid w:val="009136C6"/>
    <w:rsid w:val="00947C01"/>
    <w:rsid w:val="00993801"/>
    <w:rsid w:val="009A1261"/>
    <w:rsid w:val="00A957A5"/>
    <w:rsid w:val="00B250E8"/>
    <w:rsid w:val="00B37227"/>
    <w:rsid w:val="00C62783"/>
    <w:rsid w:val="00CE7EC3"/>
    <w:rsid w:val="00D13B0B"/>
    <w:rsid w:val="00D16829"/>
    <w:rsid w:val="00DA17A8"/>
    <w:rsid w:val="00DA6DA7"/>
    <w:rsid w:val="00DD4E6C"/>
    <w:rsid w:val="00E01BD5"/>
    <w:rsid w:val="00E27031"/>
    <w:rsid w:val="00EC5448"/>
    <w:rsid w:val="016C3386"/>
    <w:rsid w:val="02D9055C"/>
    <w:rsid w:val="03482F56"/>
    <w:rsid w:val="03A5508C"/>
    <w:rsid w:val="03B15AAA"/>
    <w:rsid w:val="07F3051C"/>
    <w:rsid w:val="08CE170B"/>
    <w:rsid w:val="09EA2E6F"/>
    <w:rsid w:val="0A4319D3"/>
    <w:rsid w:val="0B7F3A13"/>
    <w:rsid w:val="0BA8708F"/>
    <w:rsid w:val="0BBB6A73"/>
    <w:rsid w:val="0BE677B0"/>
    <w:rsid w:val="0CAD47DB"/>
    <w:rsid w:val="0CCB056D"/>
    <w:rsid w:val="0CD0274B"/>
    <w:rsid w:val="0DB16ADE"/>
    <w:rsid w:val="0E6E7FEE"/>
    <w:rsid w:val="0F2231C4"/>
    <w:rsid w:val="0F5E271F"/>
    <w:rsid w:val="0F6C54E4"/>
    <w:rsid w:val="0FC87ADC"/>
    <w:rsid w:val="107D2C70"/>
    <w:rsid w:val="10C90495"/>
    <w:rsid w:val="11573827"/>
    <w:rsid w:val="12B83FA2"/>
    <w:rsid w:val="138A5D8A"/>
    <w:rsid w:val="15140854"/>
    <w:rsid w:val="16055FDD"/>
    <w:rsid w:val="162E3965"/>
    <w:rsid w:val="16C8047E"/>
    <w:rsid w:val="171A0EFC"/>
    <w:rsid w:val="172722B4"/>
    <w:rsid w:val="176F71DC"/>
    <w:rsid w:val="177F2154"/>
    <w:rsid w:val="17973A21"/>
    <w:rsid w:val="1C4F33EA"/>
    <w:rsid w:val="1C8A01C6"/>
    <w:rsid w:val="1DE24F8E"/>
    <w:rsid w:val="1E924978"/>
    <w:rsid w:val="1ECB00A0"/>
    <w:rsid w:val="2255740F"/>
    <w:rsid w:val="235F127C"/>
    <w:rsid w:val="23E82A18"/>
    <w:rsid w:val="240838F9"/>
    <w:rsid w:val="2450519F"/>
    <w:rsid w:val="24C01EAB"/>
    <w:rsid w:val="251255F0"/>
    <w:rsid w:val="25DC0033"/>
    <w:rsid w:val="263A104E"/>
    <w:rsid w:val="271960C2"/>
    <w:rsid w:val="29330258"/>
    <w:rsid w:val="29EF1BBC"/>
    <w:rsid w:val="2EAA431C"/>
    <w:rsid w:val="31CE7B38"/>
    <w:rsid w:val="32FD5C27"/>
    <w:rsid w:val="332A4DEF"/>
    <w:rsid w:val="34D86D3F"/>
    <w:rsid w:val="36511B1E"/>
    <w:rsid w:val="37775F7C"/>
    <w:rsid w:val="38F34046"/>
    <w:rsid w:val="39A84AB2"/>
    <w:rsid w:val="39BC3F83"/>
    <w:rsid w:val="39CE031E"/>
    <w:rsid w:val="3C840AD0"/>
    <w:rsid w:val="3CBE12EF"/>
    <w:rsid w:val="3D9D22AA"/>
    <w:rsid w:val="3EA723D8"/>
    <w:rsid w:val="40A97ABB"/>
    <w:rsid w:val="416B46A4"/>
    <w:rsid w:val="42D04D85"/>
    <w:rsid w:val="46C64393"/>
    <w:rsid w:val="46C65BCB"/>
    <w:rsid w:val="481B41CB"/>
    <w:rsid w:val="48282952"/>
    <w:rsid w:val="483D49AD"/>
    <w:rsid w:val="49A173BC"/>
    <w:rsid w:val="4BFB275B"/>
    <w:rsid w:val="4EA455BF"/>
    <w:rsid w:val="4F012AC3"/>
    <w:rsid w:val="50992866"/>
    <w:rsid w:val="514D5A31"/>
    <w:rsid w:val="528B015D"/>
    <w:rsid w:val="545A1B70"/>
    <w:rsid w:val="552C094A"/>
    <w:rsid w:val="553D525D"/>
    <w:rsid w:val="56262521"/>
    <w:rsid w:val="57E42A26"/>
    <w:rsid w:val="59B515FE"/>
    <w:rsid w:val="5AC75E9B"/>
    <w:rsid w:val="5B452F25"/>
    <w:rsid w:val="5D5E7867"/>
    <w:rsid w:val="5F6610B7"/>
    <w:rsid w:val="5FAB6C7A"/>
    <w:rsid w:val="5FC51709"/>
    <w:rsid w:val="60A92491"/>
    <w:rsid w:val="61085343"/>
    <w:rsid w:val="62387107"/>
    <w:rsid w:val="62B30F28"/>
    <w:rsid w:val="62C475DE"/>
    <w:rsid w:val="63BF05AB"/>
    <w:rsid w:val="645E167B"/>
    <w:rsid w:val="64BA3A11"/>
    <w:rsid w:val="65942E73"/>
    <w:rsid w:val="659B14AF"/>
    <w:rsid w:val="663F747C"/>
    <w:rsid w:val="66E308F7"/>
    <w:rsid w:val="67CA635F"/>
    <w:rsid w:val="6845130F"/>
    <w:rsid w:val="68E76AA9"/>
    <w:rsid w:val="693D2B5B"/>
    <w:rsid w:val="69AF40B1"/>
    <w:rsid w:val="6B1C6BC5"/>
    <w:rsid w:val="6BCC7A47"/>
    <w:rsid w:val="6D7D5B98"/>
    <w:rsid w:val="6E8151B6"/>
    <w:rsid w:val="6FC33B24"/>
    <w:rsid w:val="700914BE"/>
    <w:rsid w:val="717A7605"/>
    <w:rsid w:val="71B87683"/>
    <w:rsid w:val="72C85853"/>
    <w:rsid w:val="73A86392"/>
    <w:rsid w:val="743444AB"/>
    <w:rsid w:val="743768B1"/>
    <w:rsid w:val="74902DF1"/>
    <w:rsid w:val="74DF7C53"/>
    <w:rsid w:val="765A1D29"/>
    <w:rsid w:val="776E508D"/>
    <w:rsid w:val="790647B5"/>
    <w:rsid w:val="7B3A7C36"/>
    <w:rsid w:val="7C081629"/>
    <w:rsid w:val="7CE12EEE"/>
    <w:rsid w:val="7E4A3CE2"/>
    <w:rsid w:val="7E542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8"/>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2" w:lineRule="auto"/>
      <w:ind w:firstLine="960" w:firstLineChars="200"/>
      <w:outlineLvl w:val="1"/>
    </w:pPr>
    <w:rPr>
      <w:rFonts w:ascii="Arial" w:hAnsi="Arial" w:eastAsia="黑体"/>
      <w:b/>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ind w:left="409" w:leftChars="200"/>
    </w:pPr>
    <w:rPr>
      <w:rFonts w:ascii="黑体" w:hAnsi="黑体" w:eastAsia="黑体"/>
      <w:sz w:val="32"/>
      <w:szCs w:val="32"/>
    </w:rPr>
  </w:style>
  <w:style w:type="paragraph" w:styleId="5">
    <w:name w:val="Body Text Indent"/>
    <w:basedOn w:val="1"/>
    <w:qFormat/>
    <w:uiPriority w:val="0"/>
    <w:pPr>
      <w:ind w:firstLine="560" w:firstLineChars="200"/>
    </w:pPr>
    <w:rPr>
      <w:sz w:val="28"/>
      <w:szCs w:val="24"/>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footnote text"/>
    <w:basedOn w:val="1"/>
    <w:unhideWhenUsed/>
    <w:qFormat/>
    <w:uiPriority w:val="99"/>
    <w:pPr>
      <w:snapToGrid w:val="0"/>
      <w:jc w:val="left"/>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next w:val="1"/>
    <w:link w:val="17"/>
    <w:qFormat/>
    <w:uiPriority w:val="0"/>
    <w:pPr>
      <w:spacing w:before="240" w:after="60"/>
      <w:jc w:val="center"/>
      <w:outlineLvl w:val="0"/>
    </w:pPr>
    <w:rPr>
      <w:rFonts w:asciiTheme="majorHAnsi" w:hAnsiTheme="majorHAnsi" w:cstheme="majorBidi"/>
      <w:b/>
      <w:bCs/>
      <w:sz w:val="32"/>
      <w:szCs w:val="32"/>
    </w:rPr>
  </w:style>
  <w:style w:type="character" w:styleId="13">
    <w:name w:val="footnote reference"/>
    <w:basedOn w:val="12"/>
    <w:unhideWhenUsed/>
    <w:qFormat/>
    <w:uiPriority w:val="99"/>
    <w:rPr>
      <w:vertAlign w:val="superscript"/>
    </w:rPr>
  </w:style>
  <w:style w:type="paragraph" w:customStyle="1" w:styleId="14">
    <w:name w:val="UserStyle_0"/>
    <w:basedOn w:val="1"/>
    <w:next w:val="1"/>
    <w:qFormat/>
    <w:uiPriority w:val="0"/>
    <w:pPr>
      <w:keepNext/>
      <w:keepLines/>
      <w:numPr>
        <w:ilvl w:val="4"/>
        <w:numId w:val="1"/>
      </w:numPr>
      <w:ind w:left="851" w:hanging="851"/>
    </w:pPr>
    <w:rPr>
      <w:b/>
      <w:bCs/>
      <w:szCs w:val="28"/>
    </w:rPr>
  </w:style>
  <w:style w:type="character" w:customStyle="1" w:styleId="15">
    <w:name w:val="15"/>
    <w:qFormat/>
    <w:uiPriority w:val="0"/>
    <w:rPr>
      <w:rFonts w:hint="default" w:ascii="Calibri" w:hAnsi="Calibri"/>
    </w:rPr>
  </w:style>
  <w:style w:type="character" w:customStyle="1" w:styleId="16">
    <w:name w:val="font81"/>
    <w:qFormat/>
    <w:uiPriority w:val="0"/>
    <w:rPr>
      <w:rFonts w:hint="eastAsia" w:ascii="宋体" w:hAnsi="宋体" w:eastAsia="宋体" w:cs="宋体"/>
      <w:b/>
      <w:color w:val="000000"/>
      <w:sz w:val="24"/>
      <w:szCs w:val="24"/>
      <w:u w:val="none"/>
    </w:rPr>
  </w:style>
  <w:style w:type="character" w:customStyle="1" w:styleId="17">
    <w:name w:val="标题 Char"/>
    <w:basedOn w:val="12"/>
    <w:link w:val="10"/>
    <w:qFormat/>
    <w:uiPriority w:val="0"/>
    <w:rPr>
      <w:rFonts w:asciiTheme="majorHAnsi" w:hAnsiTheme="majorHAnsi" w:cstheme="majorBidi"/>
      <w:b/>
      <w:bCs/>
      <w:kern w:val="2"/>
      <w:sz w:val="32"/>
      <w:szCs w:val="32"/>
    </w:rPr>
  </w:style>
  <w:style w:type="character" w:customStyle="1" w:styleId="18">
    <w:name w:val="标题 1 Char"/>
    <w:basedOn w:val="12"/>
    <w:link w:val="3"/>
    <w:qFormat/>
    <w:uiPriority w:val="0"/>
    <w:rPr>
      <w:b/>
      <w:bCs/>
      <w:kern w:val="44"/>
      <w:sz w:val="44"/>
      <w:szCs w:val="44"/>
    </w:rPr>
  </w:style>
  <w:style w:type="character" w:customStyle="1" w:styleId="19">
    <w:name w:val="NormalCharacter"/>
    <w:semiHidden/>
    <w:qFormat/>
    <w:uiPriority w:val="0"/>
  </w:style>
  <w:style w:type="character" w:customStyle="1" w:styleId="20">
    <w:name w:val="页脚 Char"/>
    <w:basedOn w:val="12"/>
    <w:link w:val="6"/>
    <w:qFormat/>
    <w:uiPriority w:val="99"/>
    <w:rPr>
      <w:kern w:val="2"/>
      <w:sz w:val="18"/>
      <w:szCs w:val="18"/>
    </w:rPr>
  </w:style>
  <w:style w:type="character" w:customStyle="1" w:styleId="21">
    <w:name w:val="txt3"/>
    <w:basedOn w:val="12"/>
    <w:uiPriority w:val="0"/>
  </w:style>
  <w:style w:type="paragraph" w:customStyle="1" w:styleId="22">
    <w:name w:val="Char Char Char Char Char Char Char Char Char"/>
    <w:basedOn w:val="1"/>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4717</Words>
  <Characters>4747</Characters>
  <Lines>35</Lines>
  <Paragraphs>9</Paragraphs>
  <TotalTime>6</TotalTime>
  <ScaleCrop>false</ScaleCrop>
  <LinksUpToDate>false</LinksUpToDate>
  <CharactersWithSpaces>4895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2021-08-26T03:38:00Z</dcterms:created>
  <dc:creator>嫊杺</dc:creator>
  <cp:lastModifiedBy>泰山-松融雪</cp:lastModifiedBy>
  <cp:lastPrinted>2021-08-30T01:04:00Z</cp:lastPrinted>
  <dcterms:modified xsi:type="dcterms:W3CDTF">2021-08-31T09:14:48Z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ADA2DD984B024C91A016DBBE0E79FFF3</vt:lpwstr>
  </property>
</Properties>
</file>