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612" w:firstLine="0" w:firstLineChars="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eastAsia="仿宋_GB2312"/>
          <w:sz w:val="32"/>
          <w:szCs w:val="32"/>
        </w:rPr>
        <w:t>TSDR-202</w:t>
      </w:r>
      <w:r>
        <w:rPr>
          <w:rFonts w:hint="eastAsia" w:ascii="仿宋_GB2312" w:eastAsia="仿宋_GB2312"/>
          <w:sz w:val="32"/>
          <w:szCs w:val="32"/>
          <w:lang w:val="en-US" w:eastAsia="zh-CN"/>
        </w:rPr>
        <w:t>2</w:t>
      </w:r>
      <w:r>
        <w:rPr>
          <w:rFonts w:hint="eastAsia" w:ascii="仿宋_GB2312" w:eastAsia="仿宋_GB2312"/>
          <w:sz w:val="32"/>
          <w:szCs w:val="32"/>
        </w:rPr>
        <w:t>-00</w:t>
      </w:r>
      <w:r>
        <w:rPr>
          <w:rFonts w:hint="eastAsia" w:ascii="仿宋_GB2312" w:eastAsia="仿宋_GB2312"/>
          <w:sz w:val="32"/>
          <w:szCs w:val="32"/>
          <w:lang w:val="en-US" w:eastAsia="zh-CN"/>
        </w:rPr>
        <w:t>1</w:t>
      </w:r>
      <w:r>
        <w:rPr>
          <w:rFonts w:hint="eastAsia" w:ascii="仿宋_GB2312" w:eastAsia="仿宋_GB2312"/>
          <w:sz w:val="32"/>
          <w:szCs w:val="32"/>
        </w:rPr>
        <w:t>0001</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420" w:right="612"/>
        <w:jc w:val="center"/>
        <w:textAlignment w:val="auto"/>
        <w:rPr>
          <w:rFonts w:hint="default" w:ascii="仿宋_GB2312" w:hAnsi="仿宋_GB2312" w:eastAsia="仿宋_GB2312" w:cs="仿宋_GB2312"/>
          <w:b w:val="0"/>
          <w:bCs w:val="0"/>
          <w:color w:val="auto"/>
          <w:spacing w:val="0"/>
          <w:w w:val="100"/>
          <w:sz w:val="32"/>
          <w:szCs w:val="32"/>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420" w:right="612"/>
        <w:jc w:val="center"/>
        <w:textAlignment w:val="auto"/>
        <w:rPr>
          <w:rFonts w:hint="eastAsia" w:ascii="仿宋_GB2312" w:hAnsi="仿宋_GB2312" w:eastAsia="仿宋_GB2312" w:cs="仿宋_GB2312"/>
          <w:b w:val="0"/>
          <w:bCs w:val="0"/>
          <w:color w:val="auto"/>
          <w:spacing w:val="0"/>
          <w:w w:val="100"/>
          <w:sz w:val="32"/>
          <w:szCs w:val="32"/>
          <w:lang w:val="en-US" w:eastAsia="zh-CN"/>
        </w:rPr>
      </w:pPr>
      <w:bookmarkStart w:id="1" w:name="_GoBack"/>
      <w:bookmarkEnd w:id="1"/>
    </w:p>
    <w:p>
      <w:pPr>
        <w:pStyle w:val="5"/>
        <w:keepNext w:val="0"/>
        <w:keepLines w:val="0"/>
        <w:pageBreakBefore w:val="0"/>
        <w:widowControl w:val="0"/>
        <w:kinsoku/>
        <w:wordWrap/>
        <w:overflowPunct/>
        <w:topLinePunct w:val="0"/>
        <w:autoSpaceDE w:val="0"/>
        <w:autoSpaceDN w:val="0"/>
        <w:bidi w:val="0"/>
        <w:adjustRightInd/>
        <w:snapToGrid/>
        <w:spacing w:before="0" w:beforeLines="50" w:line="340" w:lineRule="exact"/>
        <w:ind w:left="420" w:right="612"/>
        <w:jc w:val="center"/>
        <w:textAlignment w:val="auto"/>
        <w:rPr>
          <w:rFonts w:hint="eastAsia" w:ascii="仿宋_GB2312" w:hAnsi="仿宋_GB2312" w:eastAsia="仿宋_GB2312" w:cs="仿宋_GB2312"/>
          <w:b w:val="0"/>
          <w:bCs w:val="0"/>
          <w:color w:val="auto"/>
          <w:spacing w:val="0"/>
          <w:w w:val="100"/>
          <w:sz w:val="32"/>
          <w:szCs w:val="32"/>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before="0" w:line="840" w:lineRule="exact"/>
        <w:ind w:left="420" w:right="612"/>
        <w:jc w:val="center"/>
        <w:textAlignment w:val="auto"/>
        <w:rPr>
          <w:rFonts w:hint="eastAsia" w:ascii="仿宋_GB2312" w:hAnsi="仿宋_GB2312" w:eastAsia="仿宋_GB2312" w:cs="仿宋_GB2312"/>
          <w:b w:val="0"/>
          <w:bCs w:val="0"/>
          <w:color w:val="auto"/>
          <w:spacing w:val="0"/>
          <w:w w:val="100"/>
          <w:sz w:val="32"/>
          <w:szCs w:val="32"/>
          <w:lang w:val="en-US" w:eastAsia="zh-CN"/>
        </w:rPr>
      </w:pPr>
    </w:p>
    <w:p>
      <w:pPr>
        <w:spacing w:line="560" w:lineRule="exact"/>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泰山政字〔</w:t>
      </w:r>
      <w:r>
        <w:rPr>
          <w:rFonts w:hint="eastAsia" w:ascii="仿宋_GB2312" w:hAnsi="仿宋_GB2312" w:eastAsia="仿宋_GB2312" w:cs="仿宋_GB2312"/>
          <w:b w:val="0"/>
          <w:bCs w:val="0"/>
          <w:sz w:val="32"/>
          <w:szCs w:val="32"/>
          <w:lang w:val="en-US" w:eastAsia="zh-CN"/>
        </w:rPr>
        <w:t>2022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4号</w:t>
      </w:r>
    </w:p>
    <w:p>
      <w:pPr>
        <w:spacing w:line="560" w:lineRule="exact"/>
        <w:rPr>
          <w:rFonts w:hint="default" w:ascii="Times New Roman" w:hAnsi="Times New Roman" w:eastAsia="方正小标宋简体" w:cs="Times New Roman"/>
          <w:b w:val="0"/>
          <w:bCs w:val="0"/>
          <w:sz w:val="44"/>
          <w:szCs w:val="44"/>
        </w:rPr>
      </w:pPr>
    </w:p>
    <w:p>
      <w:pPr>
        <w:spacing w:line="560" w:lineRule="exact"/>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经典粗宋简" w:hAnsi="经典粗宋简" w:eastAsia="经典粗宋简" w:cs="经典粗宋简"/>
          <w:b w:val="0"/>
          <w:bCs w:val="0"/>
          <w:color w:val="000000"/>
          <w:spacing w:val="-11"/>
          <w:w w:val="96"/>
          <w:sz w:val="44"/>
          <w:szCs w:val="44"/>
        </w:rPr>
      </w:pPr>
      <w:r>
        <w:rPr>
          <w:rFonts w:hint="eastAsia" w:ascii="经典粗宋简" w:hAnsi="经典粗宋简" w:eastAsia="经典粗宋简" w:cs="经典粗宋简"/>
          <w:b w:val="0"/>
          <w:bCs w:val="0"/>
          <w:color w:val="000000"/>
          <w:spacing w:val="-11"/>
          <w:w w:val="96"/>
          <w:sz w:val="44"/>
          <w:szCs w:val="44"/>
        </w:rPr>
        <w:t>泰安市泰山区人民政府</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经典粗宋简" w:hAnsi="经典粗宋简" w:eastAsia="经典粗宋简" w:cs="经典粗宋简"/>
          <w:b w:val="0"/>
          <w:bCs w:val="0"/>
          <w:color w:val="000000"/>
          <w:spacing w:val="-11"/>
          <w:w w:val="96"/>
          <w:sz w:val="44"/>
          <w:szCs w:val="44"/>
        </w:rPr>
      </w:pPr>
      <w:r>
        <w:rPr>
          <w:rFonts w:hint="eastAsia" w:ascii="经典粗宋简" w:hAnsi="经典粗宋简" w:eastAsia="经典粗宋简" w:cs="经典粗宋简"/>
          <w:b w:val="0"/>
          <w:bCs w:val="0"/>
          <w:color w:val="000000"/>
          <w:spacing w:val="-11"/>
          <w:w w:val="96"/>
          <w:sz w:val="44"/>
          <w:szCs w:val="44"/>
        </w:rPr>
        <w:t>关于印发《泰山区产业发展引导基金管理办法》的</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经典粗宋简" w:hAnsi="经典粗宋简" w:eastAsia="经典粗宋简" w:cs="经典粗宋简"/>
          <w:b w:val="0"/>
          <w:bCs w:val="0"/>
          <w:color w:val="000000"/>
          <w:spacing w:val="-11"/>
          <w:w w:val="96"/>
          <w:sz w:val="44"/>
          <w:szCs w:val="44"/>
        </w:rPr>
      </w:pPr>
      <w:r>
        <w:rPr>
          <w:rFonts w:hint="eastAsia" w:ascii="经典粗宋简" w:hAnsi="经典粗宋简" w:eastAsia="经典粗宋简" w:cs="经典粗宋简"/>
          <w:b w:val="0"/>
          <w:bCs w:val="0"/>
          <w:color w:val="000000"/>
          <w:spacing w:val="-11"/>
          <w:w w:val="96"/>
          <w:sz w:val="44"/>
          <w:szCs w:val="44"/>
        </w:rPr>
        <w:t>通</w:t>
      </w:r>
      <w:r>
        <w:rPr>
          <w:rFonts w:hint="eastAsia" w:ascii="经典粗宋简" w:hAnsi="经典粗宋简" w:eastAsia="经典粗宋简" w:cs="经典粗宋简"/>
          <w:b w:val="0"/>
          <w:bCs w:val="0"/>
          <w:color w:val="000000"/>
          <w:spacing w:val="-11"/>
          <w:w w:val="96"/>
          <w:sz w:val="44"/>
          <w:szCs w:val="44"/>
          <w:lang w:val="en-US" w:eastAsia="zh-CN"/>
        </w:rPr>
        <w:t xml:space="preserve">     </w:t>
      </w:r>
      <w:r>
        <w:rPr>
          <w:rFonts w:hint="eastAsia" w:ascii="经典粗宋简" w:hAnsi="经典粗宋简" w:eastAsia="经典粗宋简" w:cs="经典粗宋简"/>
          <w:b w:val="0"/>
          <w:bCs w:val="0"/>
          <w:color w:val="000000"/>
          <w:spacing w:val="-11"/>
          <w:w w:val="96"/>
          <w:sz w:val="44"/>
          <w:szCs w:val="44"/>
        </w:rPr>
        <w:t>知</w:t>
      </w:r>
    </w:p>
    <w:p>
      <w:pPr>
        <w:spacing w:line="600" w:lineRule="exact"/>
        <w:rPr>
          <w:rFonts w:eastAsia="楷体_GB2312"/>
          <w:b w:val="0"/>
          <w:bCs w:val="0"/>
          <w:sz w:val="32"/>
          <w:szCs w:val="32"/>
        </w:rPr>
      </w:pPr>
    </w:p>
    <w:p>
      <w:pPr>
        <w:keepNext w:val="0"/>
        <w:keepLines w:val="0"/>
        <w:pageBreakBefore w:val="0"/>
        <w:widowControl w:val="0"/>
        <w:kinsoku/>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val="0"/>
          <w:bCs w:val="0"/>
          <w:color w:val="000000"/>
          <w:spacing w:val="-8"/>
          <w:sz w:val="32"/>
          <w:szCs w:val="32"/>
        </w:rPr>
      </w:pPr>
      <w:r>
        <w:rPr>
          <w:rFonts w:hint="eastAsia" w:ascii="仿宋_GB2312" w:hAnsi="仿宋_GB2312" w:eastAsia="仿宋_GB2312" w:cs="仿宋_GB2312"/>
          <w:b w:val="0"/>
          <w:bCs w:val="0"/>
          <w:color w:val="000000"/>
          <w:spacing w:val="-8"/>
          <w:sz w:val="32"/>
          <w:szCs w:val="32"/>
        </w:rPr>
        <w:t>各街道办事处、镇人民政府，各园区管委会，区</w:t>
      </w:r>
      <w:r>
        <w:rPr>
          <w:rFonts w:hint="eastAsia" w:ascii="仿宋_GB2312" w:hAnsi="仿宋_GB2312" w:eastAsia="仿宋_GB2312" w:cs="仿宋_GB2312"/>
          <w:b w:val="0"/>
          <w:bCs w:val="0"/>
          <w:color w:val="000000"/>
          <w:spacing w:val="-8"/>
          <w:sz w:val="32"/>
          <w:szCs w:val="32"/>
          <w:lang w:eastAsia="zh-CN"/>
        </w:rPr>
        <w:t>政府</w:t>
      </w:r>
      <w:r>
        <w:rPr>
          <w:rFonts w:hint="eastAsia" w:ascii="仿宋_GB2312" w:hAnsi="仿宋_GB2312" w:eastAsia="仿宋_GB2312" w:cs="仿宋_GB2312"/>
          <w:b w:val="0"/>
          <w:bCs w:val="0"/>
          <w:color w:val="000000"/>
          <w:spacing w:val="-8"/>
          <w:sz w:val="32"/>
          <w:szCs w:val="32"/>
        </w:rPr>
        <w:t>有关部门：</w:t>
      </w:r>
    </w:p>
    <w:p>
      <w:pPr>
        <w:keepNext w:val="0"/>
        <w:keepLines w:val="0"/>
        <w:pageBreakBefore w:val="0"/>
        <w:widowControl w:val="0"/>
        <w:tabs>
          <w:tab w:val="left" w:pos="4200"/>
          <w:tab w:val="left" w:pos="4410"/>
        </w:tabs>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《泰山区产业发展引导基金管理办法》已经区政府同意，现印发给你们，请认真抓好落实。</w:t>
      </w:r>
    </w:p>
    <w:p>
      <w:pPr>
        <w:pStyle w:val="2"/>
        <w:rPr>
          <w:rFonts w:hint="eastAsia"/>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rPr>
      </w:pPr>
    </w:p>
    <w:p>
      <w:pPr>
        <w:keepNext w:val="0"/>
        <w:keepLines w:val="0"/>
        <w:pageBreakBefore w:val="0"/>
        <w:widowControl w:val="0"/>
        <w:tabs>
          <w:tab w:val="left" w:pos="4200"/>
        </w:tabs>
        <w:kinsoku/>
        <w:overflowPunct/>
        <w:topLinePunct w:val="0"/>
        <w:autoSpaceDE/>
        <w:autoSpaceDN/>
        <w:bidi w:val="0"/>
        <w:adjustRightInd/>
        <w:snapToGrid/>
        <w:spacing w:line="600" w:lineRule="exact"/>
        <w:ind w:right="712"/>
        <w:jc w:val="right"/>
        <w:textAlignment w:val="auto"/>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泰安市泰山区人民政府</w:t>
      </w:r>
    </w:p>
    <w:p>
      <w:pPr>
        <w:ind w:left="0" w:leftChars="0" w:firstLine="560" w:firstLineChars="175"/>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 xml:space="preserve">                      </w:t>
      </w:r>
      <w:r>
        <w:rPr>
          <w:rFonts w:hint="eastAsia" w:ascii="仿宋_GB2312" w:hAnsi="仿宋_GB2312" w:eastAsia="仿宋_GB2312" w:cs="仿宋_GB2312"/>
          <w:b w:val="0"/>
          <w:bCs w:val="0"/>
          <w:color w:val="000000"/>
          <w:spacing w:val="0"/>
          <w:sz w:val="32"/>
          <w:szCs w:val="32"/>
          <w:lang w:val="en-US" w:eastAsia="zh-CN"/>
        </w:rPr>
        <w:t xml:space="preserve">      </w:t>
      </w:r>
      <w:r>
        <w:rPr>
          <w:rFonts w:hint="eastAsia" w:ascii="仿宋_GB2312" w:hAnsi="仿宋_GB2312" w:eastAsia="仿宋_GB2312" w:cs="仿宋_GB2312"/>
          <w:b w:val="0"/>
          <w:bCs w:val="0"/>
          <w:color w:val="000000"/>
          <w:spacing w:val="0"/>
          <w:sz w:val="32"/>
          <w:szCs w:val="32"/>
        </w:rPr>
        <w:t xml:space="preserve">   2022年</w:t>
      </w:r>
      <w:r>
        <w:rPr>
          <w:rFonts w:hint="eastAsia" w:ascii="仿宋_GB2312" w:hAnsi="仿宋_GB2312" w:eastAsia="仿宋_GB2312" w:cs="仿宋_GB2312"/>
          <w:b w:val="0"/>
          <w:bCs w:val="0"/>
          <w:color w:val="000000"/>
          <w:spacing w:val="0"/>
          <w:sz w:val="32"/>
          <w:szCs w:val="32"/>
          <w:lang w:val="en-US" w:eastAsia="zh-CN"/>
        </w:rPr>
        <w:t>6</w:t>
      </w:r>
      <w:r>
        <w:rPr>
          <w:rFonts w:hint="eastAsia" w:ascii="仿宋_GB2312" w:hAnsi="仿宋_GB2312" w:eastAsia="仿宋_GB2312" w:cs="仿宋_GB2312"/>
          <w:b w:val="0"/>
          <w:bCs w:val="0"/>
          <w:color w:val="000000"/>
          <w:spacing w:val="0"/>
          <w:sz w:val="32"/>
          <w:szCs w:val="32"/>
        </w:rPr>
        <w:t>月</w:t>
      </w:r>
      <w:r>
        <w:rPr>
          <w:rFonts w:hint="eastAsia" w:ascii="仿宋_GB2312" w:hAnsi="仿宋_GB2312" w:eastAsia="仿宋_GB2312" w:cs="仿宋_GB2312"/>
          <w:b w:val="0"/>
          <w:bCs w:val="0"/>
          <w:color w:val="000000"/>
          <w:spacing w:val="0"/>
          <w:sz w:val="32"/>
          <w:szCs w:val="32"/>
          <w:lang w:val="en-US" w:eastAsia="zh-CN"/>
        </w:rPr>
        <w:t>27</w:t>
      </w:r>
      <w:r>
        <w:rPr>
          <w:rFonts w:hint="eastAsia" w:ascii="仿宋_GB2312" w:hAnsi="仿宋_GB2312" w:eastAsia="仿宋_GB2312" w:cs="仿宋_GB2312"/>
          <w:b w:val="0"/>
          <w:bCs w:val="0"/>
          <w:color w:val="000000"/>
          <w:spacing w:val="0"/>
          <w:sz w:val="32"/>
          <w:szCs w:val="32"/>
        </w:rPr>
        <w:t>日</w:t>
      </w:r>
    </w:p>
    <w:p>
      <w:pPr>
        <w:rPr>
          <w:rFonts w:hint="eastAsia" w:ascii="经典粗宋简" w:hAnsi="经典粗宋简" w:eastAsia="经典粗宋简" w:cs="经典粗宋简"/>
          <w:b w:val="0"/>
          <w:bCs w:val="0"/>
          <w:sz w:val="44"/>
          <w:szCs w:val="48"/>
        </w:rPr>
      </w:pPr>
      <w:r>
        <w:rPr>
          <w:rFonts w:hint="eastAsia" w:ascii="经典粗宋简" w:hAnsi="经典粗宋简" w:eastAsia="经典粗宋简" w:cs="经典粗宋简"/>
          <w:b w:val="0"/>
          <w:bCs w:val="0"/>
          <w:sz w:val="44"/>
          <w:szCs w:val="48"/>
        </w:rPr>
        <w:br w:type="page"/>
      </w:r>
    </w:p>
    <w:p>
      <w:pPr>
        <w:keepNext w:val="0"/>
        <w:keepLines w:val="0"/>
        <w:pageBreakBefore w:val="0"/>
        <w:widowControl w:val="0"/>
        <w:kinsoku/>
        <w:wordWrap/>
        <w:overflowPunct/>
        <w:topLinePunct w:val="0"/>
        <w:bidi w:val="0"/>
        <w:adjustRightInd/>
        <w:snapToGrid/>
        <w:spacing w:line="600" w:lineRule="exact"/>
        <w:ind w:firstLine="0" w:firstLineChars="0"/>
        <w:jc w:val="center"/>
        <w:textAlignment w:val="auto"/>
        <w:rPr>
          <w:rFonts w:hint="eastAsia" w:ascii="经典粗宋简" w:hAnsi="经典粗宋简" w:eastAsia="经典粗宋简" w:cs="经典粗宋简"/>
          <w:b w:val="0"/>
          <w:bCs w:val="0"/>
          <w:sz w:val="44"/>
          <w:szCs w:val="44"/>
        </w:rPr>
      </w:pPr>
      <w:r>
        <w:rPr>
          <w:rFonts w:hint="eastAsia" w:ascii="经典粗宋简" w:hAnsi="经典粗宋简" w:eastAsia="经典粗宋简" w:cs="经典粗宋简"/>
          <w:b w:val="0"/>
          <w:bCs w:val="0"/>
          <w:sz w:val="44"/>
          <w:szCs w:val="48"/>
        </w:rPr>
        <w:t>泰山区产业发展引导基金</w:t>
      </w:r>
      <w:r>
        <w:rPr>
          <w:rFonts w:hint="eastAsia" w:ascii="经典粗宋简" w:hAnsi="经典粗宋简" w:eastAsia="经典粗宋简" w:cs="经典粗宋简"/>
          <w:b w:val="0"/>
          <w:bCs w:val="0"/>
          <w:sz w:val="44"/>
          <w:szCs w:val="44"/>
        </w:rPr>
        <w:t>管理办法</w:t>
      </w:r>
    </w:p>
    <w:p>
      <w:pPr>
        <w:ind w:left="0" w:leftChars="0" w:firstLine="0" w:firstLineChars="0"/>
        <w:rPr>
          <w:rFonts w:hint="eastAsia"/>
          <w:lang w:val="en-US" w:eastAsia="zh-CN"/>
        </w:rPr>
      </w:pPr>
    </w:p>
    <w:p>
      <w:pPr>
        <w:pStyle w:val="18"/>
        <w:keepNext w:val="0"/>
        <w:keepLines w:val="0"/>
        <w:pageBreakBefore w:val="0"/>
        <w:widowControl w:val="0"/>
        <w:numPr>
          <w:ilvl w:val="0"/>
          <w:numId w:val="0"/>
        </w:numPr>
        <w:kinsoku/>
        <w:wordWrap/>
        <w:overflowPunct/>
        <w:topLinePunct w:val="0"/>
        <w:bidi w:val="0"/>
        <w:adjustRightInd/>
        <w:snapToGrid/>
        <w:spacing w:line="600" w:lineRule="exact"/>
        <w:jc w:val="center"/>
        <w:textAlignment w:val="auto"/>
        <w:rPr>
          <w:rFonts w:ascii="黑体" w:hAnsi="宋体" w:eastAsia="黑体"/>
          <w:b w:val="0"/>
          <w:bCs w:val="0"/>
          <w:sz w:val="32"/>
          <w:szCs w:val="32"/>
        </w:rPr>
      </w:pPr>
      <w:r>
        <w:rPr>
          <w:rFonts w:hint="eastAsia" w:ascii="黑体" w:hAnsi="宋体" w:eastAsia="黑体"/>
          <w:b w:val="0"/>
          <w:bCs w:val="0"/>
          <w:sz w:val="32"/>
          <w:szCs w:val="32"/>
          <w:lang w:eastAsia="zh-CN"/>
        </w:rPr>
        <w:t>第一章</w:t>
      </w:r>
      <w:r>
        <w:rPr>
          <w:rFonts w:hint="eastAsia" w:ascii="黑体" w:hAnsi="宋体" w:eastAsia="黑体"/>
          <w:b w:val="0"/>
          <w:bCs w:val="0"/>
          <w:sz w:val="32"/>
          <w:szCs w:val="32"/>
          <w:lang w:val="en-US" w:eastAsia="zh-CN"/>
        </w:rPr>
        <w:t xml:space="preserve">  </w:t>
      </w:r>
      <w:r>
        <w:rPr>
          <w:rFonts w:hint="eastAsia" w:ascii="黑体" w:hAnsi="宋体" w:eastAsia="黑体"/>
          <w:b w:val="0"/>
          <w:bCs w:val="0"/>
          <w:sz w:val="32"/>
          <w:szCs w:val="32"/>
        </w:rPr>
        <w:t>总　则</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pPr>
      <w:r>
        <w:rPr>
          <w:rFonts w:hint="eastAsia" w:ascii="黑体" w:hAnsi="黑体" w:eastAsia="黑体" w:cs="黑体"/>
          <w:b w:val="0"/>
          <w:bCs w:val="0"/>
          <w:sz w:val="32"/>
          <w:szCs w:val="32"/>
        </w:rPr>
        <w:t>第一条</w:t>
      </w:r>
      <w:r>
        <w:rPr>
          <w:rFonts w:hint="eastAsia" w:ascii="仿宋_GB2312" w:hAnsi="宋体" w:eastAsia="仿宋_GB2312"/>
          <w:b w:val="0"/>
          <w:bCs w:val="0"/>
          <w:sz w:val="32"/>
          <w:szCs w:val="32"/>
        </w:rPr>
        <w:t>　</w:t>
      </w:r>
      <w:r>
        <w:rPr>
          <w:rFonts w:hint="eastAsia" w:ascii="仿宋_GB2312" w:eastAsia="仿宋_GB2312"/>
          <w:b w:val="0"/>
          <w:bCs w:val="0"/>
          <w:sz w:val="32"/>
          <w:szCs w:val="32"/>
          <w:lang w:val="en-US"/>
        </w:rPr>
        <w:t>为推动新时代现代化强区建设，结合泰山区实际，制定本办法。</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ascii="仿宋_GB2312" w:hAnsi="Times New Roman" w:eastAsia="仿宋_GB2312" w:cs="Times New Roman"/>
          <w:b w:val="0"/>
          <w:bCs w:val="0"/>
          <w:sz w:val="32"/>
          <w:szCs w:val="32"/>
        </w:rPr>
      </w:pPr>
      <w:r>
        <w:rPr>
          <w:rFonts w:hint="eastAsia" w:ascii="黑体" w:hAnsi="黑体" w:eastAsia="黑体" w:cs="黑体"/>
          <w:b w:val="0"/>
          <w:bCs w:val="0"/>
          <w:sz w:val="32"/>
          <w:szCs w:val="32"/>
        </w:rPr>
        <w:t>第二条</w:t>
      </w:r>
      <w:r>
        <w:rPr>
          <w:rFonts w:hint="eastAsia" w:ascii="仿宋_GB2312" w:hAnsi="Times New Roman" w:eastAsia="仿宋_GB2312" w:cs="Times New Roman"/>
          <w:b w:val="0"/>
          <w:bCs w:val="0"/>
          <w:sz w:val="32"/>
          <w:szCs w:val="32"/>
        </w:rPr>
        <w:t>　</w:t>
      </w:r>
      <w:r>
        <w:rPr>
          <w:rFonts w:hint="eastAsia" w:ascii="仿宋_GB2312" w:eastAsia="仿宋_GB2312"/>
          <w:b w:val="0"/>
          <w:bCs w:val="0"/>
          <w:sz w:val="32"/>
          <w:szCs w:val="32"/>
          <w:lang w:val="en-US"/>
        </w:rPr>
        <w:t>本办法所称产业发展引导基金(以下简称引导基金)，是指由政府出资发起，以引导基金、母基金、子基金三级架构进行市场化运作，吸引撬动社会资本设立的基金。</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ascii="仿宋_GB2312" w:hAnsi="宋体" w:eastAsia="仿宋_GB2312"/>
          <w:b w:val="0"/>
          <w:bCs w:val="0"/>
          <w:sz w:val="32"/>
          <w:szCs w:val="32"/>
        </w:rPr>
      </w:pPr>
      <w:r>
        <w:rPr>
          <w:rFonts w:hint="eastAsia" w:ascii="黑体" w:hAnsi="黑体" w:eastAsia="黑体" w:cs="黑体"/>
          <w:b w:val="0"/>
          <w:bCs w:val="0"/>
          <w:sz w:val="32"/>
          <w:szCs w:val="32"/>
        </w:rPr>
        <w:t>第三条</w:t>
      </w:r>
      <w:r>
        <w:rPr>
          <w:rFonts w:hint="eastAsia" w:ascii="仿宋_GB2312" w:hAnsi="宋体" w:eastAsia="仿宋_GB2312"/>
          <w:b w:val="0"/>
          <w:bCs w:val="0"/>
          <w:sz w:val="32"/>
          <w:szCs w:val="32"/>
        </w:rPr>
        <w:t>　</w:t>
      </w:r>
      <w:r>
        <w:rPr>
          <w:rFonts w:hint="eastAsia" w:ascii="仿宋_GB2312" w:eastAsia="仿宋_GB2312"/>
          <w:b w:val="0"/>
          <w:bCs w:val="0"/>
          <w:sz w:val="32"/>
          <w:szCs w:val="32"/>
          <w:lang w:val="en-US"/>
        </w:rPr>
        <w:t>引导基金可根据投资需要设立母基金或直接出资设立、增资参股子基金或开展直接投资，母基金可根据投资需要设立多支子基金或直接投资区内重点项目。</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ascii="仿宋_GB2312" w:hAnsi="Times New Roman" w:eastAsia="仿宋_GB2312" w:cs="Times New Roman"/>
          <w:b w:val="0"/>
          <w:bCs w:val="0"/>
          <w:sz w:val="32"/>
          <w:szCs w:val="32"/>
        </w:rPr>
      </w:pPr>
      <w:r>
        <w:rPr>
          <w:rFonts w:hint="eastAsia" w:ascii="黑体" w:hAnsi="黑体" w:eastAsia="黑体" w:cs="黑体"/>
          <w:b w:val="0"/>
          <w:bCs w:val="0"/>
          <w:sz w:val="32"/>
          <w:szCs w:val="32"/>
        </w:rPr>
        <w:t xml:space="preserve">第四条 </w:t>
      </w:r>
      <w:r>
        <w:rPr>
          <w:rFonts w:hint="eastAsia" w:ascii="仿宋_GB2312" w:hAnsi="Times New Roman" w:eastAsia="仿宋_GB2312" w:cs="Times New Roman"/>
          <w:b w:val="0"/>
          <w:bCs w:val="0"/>
          <w:sz w:val="32"/>
          <w:szCs w:val="32"/>
        </w:rPr>
        <w:t xml:space="preserve"> </w:t>
      </w:r>
      <w:r>
        <w:rPr>
          <w:rFonts w:hint="eastAsia" w:ascii="仿宋_GB2312" w:eastAsia="仿宋_GB2312"/>
          <w:b w:val="0"/>
          <w:bCs w:val="0"/>
          <w:sz w:val="32"/>
          <w:szCs w:val="32"/>
          <w:lang w:val="en-US" w:eastAsia="zh-CN"/>
        </w:rPr>
        <w:t>引导</w:t>
      </w:r>
      <w:r>
        <w:rPr>
          <w:rFonts w:hint="eastAsia" w:ascii="仿宋_GB2312" w:eastAsia="仿宋_GB2312"/>
          <w:b w:val="0"/>
          <w:bCs w:val="0"/>
          <w:sz w:val="32"/>
          <w:szCs w:val="32"/>
          <w:lang w:val="en-US"/>
        </w:rPr>
        <w:t>基金按照“政府引导、市场运作、便捷高效、风险可控”的原则运行。</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pPr>
      <w:r>
        <w:rPr>
          <w:rFonts w:hint="eastAsia" w:ascii="黑体" w:hAnsi="黑体" w:eastAsia="黑体" w:cs="黑体"/>
          <w:b w:val="0"/>
          <w:bCs w:val="0"/>
          <w:sz w:val="32"/>
          <w:szCs w:val="32"/>
        </w:rPr>
        <w:t xml:space="preserve">第五条 </w:t>
      </w:r>
      <w:r>
        <w:rPr>
          <w:rFonts w:hint="eastAsia" w:ascii="仿宋_GB2312" w:eastAsia="仿宋_GB2312"/>
          <w:b w:val="0"/>
          <w:bCs w:val="0"/>
          <w:sz w:val="32"/>
          <w:szCs w:val="32"/>
        </w:rPr>
        <w:t xml:space="preserve"> </w:t>
      </w:r>
      <w:r>
        <w:rPr>
          <w:rFonts w:hint="eastAsia" w:ascii="仿宋_GB2312" w:eastAsia="仿宋_GB2312"/>
          <w:b w:val="0"/>
          <w:bCs w:val="0"/>
          <w:sz w:val="32"/>
          <w:szCs w:val="32"/>
          <w:lang w:val="en-US" w:eastAsia="zh-CN"/>
        </w:rPr>
        <w:t>引导</w:t>
      </w:r>
      <w:r>
        <w:rPr>
          <w:rFonts w:hint="eastAsia" w:ascii="仿宋_GB2312" w:eastAsia="仿宋_GB2312"/>
          <w:b w:val="0"/>
          <w:bCs w:val="0"/>
          <w:sz w:val="32"/>
          <w:szCs w:val="32"/>
          <w:lang w:val="en-US"/>
        </w:rPr>
        <w:t>基金主要服务于全区都市工业经济、“十强”产业、“五型”经济、“四新”“四化”等领域，重点投向企业重大技术改造、科技成果转化、产业链关键环节提升、制造业与互联网融合、产业区域布局调整、基础设施建设、上市挂牌企业及上市后备资源库等项目;重点招商引资、招才引智项目; 创新创业载体、孵化器、总部基地、科创基地等项目。</w:t>
      </w:r>
    </w:p>
    <w:p>
      <w:pPr>
        <w:pStyle w:val="18"/>
        <w:keepNext w:val="0"/>
        <w:keepLines w:val="0"/>
        <w:pageBreakBefore w:val="0"/>
        <w:widowControl w:val="0"/>
        <w:numPr>
          <w:ilvl w:val="0"/>
          <w:numId w:val="0"/>
        </w:numPr>
        <w:kinsoku/>
        <w:wordWrap/>
        <w:overflowPunct/>
        <w:topLinePunct w:val="0"/>
        <w:bidi w:val="0"/>
        <w:adjustRightInd/>
        <w:snapToGrid/>
        <w:spacing w:line="600" w:lineRule="exact"/>
        <w:jc w:val="center"/>
        <w:textAlignment w:val="auto"/>
        <w:rPr>
          <w:rFonts w:ascii="黑体" w:hAnsi="宋体" w:eastAsia="黑体"/>
          <w:b w:val="0"/>
          <w:bCs w:val="0"/>
          <w:sz w:val="32"/>
          <w:szCs w:val="32"/>
        </w:rPr>
      </w:pPr>
      <w:r>
        <w:rPr>
          <w:rFonts w:hint="eastAsia" w:ascii="黑体" w:hAnsi="宋体" w:eastAsia="黑体"/>
          <w:b w:val="0"/>
          <w:bCs w:val="0"/>
          <w:sz w:val="32"/>
          <w:szCs w:val="32"/>
          <w:lang w:eastAsia="zh-CN"/>
        </w:rPr>
        <w:t>第二章</w:t>
      </w:r>
      <w:r>
        <w:rPr>
          <w:rFonts w:hint="eastAsia" w:ascii="黑体" w:hAnsi="宋体" w:eastAsia="黑体"/>
          <w:b w:val="0"/>
          <w:bCs w:val="0"/>
          <w:sz w:val="32"/>
          <w:szCs w:val="32"/>
          <w:lang w:val="en-US" w:eastAsia="zh-CN"/>
        </w:rPr>
        <w:t xml:space="preserve">  </w:t>
      </w:r>
      <w:r>
        <w:rPr>
          <w:rFonts w:hint="eastAsia" w:ascii="黑体" w:hAnsi="宋体" w:eastAsia="黑体"/>
          <w:b w:val="0"/>
          <w:bCs w:val="0"/>
          <w:sz w:val="32"/>
          <w:szCs w:val="32"/>
        </w:rPr>
        <w:t>管理机制</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pPr>
      <w:r>
        <w:rPr>
          <w:rFonts w:hint="eastAsia" w:ascii="黑体" w:hAnsi="黑体" w:eastAsia="黑体" w:cs="黑体"/>
          <w:b w:val="0"/>
          <w:bCs w:val="0"/>
          <w:sz w:val="32"/>
          <w:szCs w:val="32"/>
        </w:rPr>
        <w:t>第六条</w:t>
      </w:r>
      <w:r>
        <w:rPr>
          <w:rFonts w:hint="eastAsia" w:ascii="仿宋_GB2312" w:hAnsi="宋体" w:eastAsia="仿宋_GB2312"/>
          <w:b w:val="0"/>
          <w:bCs w:val="0"/>
          <w:sz w:val="32"/>
          <w:szCs w:val="32"/>
        </w:rPr>
        <w:t xml:space="preserve">  </w:t>
      </w:r>
      <w:r>
        <w:rPr>
          <w:rFonts w:hint="eastAsia" w:ascii="仿宋_GB2312" w:eastAsia="仿宋_GB2312"/>
          <w:b w:val="0"/>
          <w:bCs w:val="0"/>
          <w:sz w:val="32"/>
          <w:szCs w:val="32"/>
          <w:lang w:val="en-US"/>
        </w:rPr>
        <w:t>成立泰山区产业发展引导基金决策委员会（以下简称“基金决策委员会”），负责研究决定引导基金工作中的重大事项，审议决策引导基金的筹集、参股母基金、设立和增资参股子基金及直接投资工作，核准引导基金投资范围、投资计划和投资方案等。</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eastAsia="仿宋_GB2312"/>
          <w:b w:val="0"/>
          <w:bCs w:val="0"/>
          <w:sz w:val="32"/>
          <w:szCs w:val="32"/>
        </w:rPr>
        <w:t xml:space="preserve">  </w:t>
      </w:r>
      <w:r>
        <w:rPr>
          <w:rFonts w:hint="eastAsia" w:ascii="仿宋_GB2312" w:eastAsia="仿宋_GB2312"/>
          <w:b w:val="0"/>
          <w:bCs w:val="0"/>
          <w:sz w:val="32"/>
          <w:szCs w:val="32"/>
          <w:lang w:val="en-US"/>
        </w:rPr>
        <w:t>组建引导基金管理公司，并根据母基金设立的需要，组建相应的母基金管理公司（以下简称：母基金管理人），负责母基金运营管理工作。</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eastAsia="仿宋_GB2312"/>
          <w:b w:val="0"/>
          <w:bCs w:val="0"/>
          <w:sz w:val="32"/>
          <w:szCs w:val="32"/>
        </w:rPr>
        <w:t xml:space="preserve">  </w:t>
      </w:r>
      <w:r>
        <w:rPr>
          <w:rFonts w:hint="eastAsia" w:ascii="仿宋_GB2312" w:eastAsia="仿宋_GB2312"/>
          <w:b w:val="0"/>
          <w:bCs w:val="0"/>
          <w:sz w:val="32"/>
          <w:szCs w:val="32"/>
          <w:lang w:val="en-US"/>
        </w:rPr>
        <w:t>引导基金管理人的主要职责：</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t>一</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b w:val="0"/>
          <w:bCs w:val="0"/>
          <w:sz w:val="32"/>
          <w:szCs w:val="32"/>
          <w:lang w:val="en-US"/>
        </w:rPr>
        <w:t>负责引导基金运营管理工作;</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hint="eastAsia" w:ascii="仿宋_GB2312" w:eastAsia="仿宋_GB2312"/>
          <w:b w:val="0"/>
          <w:bCs w:val="0"/>
          <w:sz w:val="32"/>
          <w:szCs w:val="32"/>
          <w:lang w:val="en-US"/>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t>二</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b w:val="0"/>
          <w:bCs w:val="0"/>
          <w:sz w:val="32"/>
          <w:szCs w:val="32"/>
          <w:lang w:val="en-US"/>
        </w:rPr>
        <w:t>负责基金设立、增资、参股、直接投资等工作;</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t>三</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b w:val="0"/>
          <w:bCs w:val="0"/>
          <w:sz w:val="32"/>
          <w:szCs w:val="32"/>
          <w:lang w:val="en-US"/>
        </w:rPr>
        <w:t>代表母基金以出资额为限对母（子）基金行使出资人权利并承担相应义务，通过向母（子）基金委派代表、章程(协议或合同)约定等方式，负责对母（子）基金进行监管，对使用情况进行绩效评价;</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t>四</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b w:val="0"/>
          <w:bCs w:val="0"/>
          <w:sz w:val="32"/>
          <w:szCs w:val="32"/>
          <w:lang w:val="en-US"/>
        </w:rPr>
        <w:t>负责引导基金的退出与清算及投资回收，对基金实行专户管理，专账核算；</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t>五</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b w:val="0"/>
          <w:bCs w:val="0"/>
          <w:sz w:val="32"/>
          <w:szCs w:val="32"/>
          <w:lang w:val="en-US"/>
        </w:rPr>
        <w:t>向基金决策委员会办公室报告基金投资运作情况及其他重大事项；每个会计年度结束后委托专业机构对引导基金运行情况进行审计并出具审计报告。</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ascii="仿宋_GB2312" w:eastAsia="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eastAsia="仿宋_GB2312" w:cs="宋体"/>
          <w:b w:val="0"/>
          <w:bCs w:val="0"/>
          <w:color w:val="333333"/>
          <w:sz w:val="32"/>
          <w:szCs w:val="32"/>
        </w:rPr>
        <w:t xml:space="preserve">  </w:t>
      </w:r>
      <w:r>
        <w:rPr>
          <w:rFonts w:hint="eastAsia" w:ascii="仿宋_GB2312" w:eastAsia="仿宋_GB2312"/>
          <w:b w:val="0"/>
          <w:bCs w:val="0"/>
          <w:sz w:val="32"/>
          <w:szCs w:val="32"/>
          <w:lang w:val="en-US"/>
        </w:rPr>
        <w:t>每年按照引导基金实缴出资总额的一定比例支付基金管理费。从项目或子基金中退出的本金，不再计提管理费用；引导基金超出初始存续期后，不再支付管理费用。基金管理费主要用于投资项目考察、尽职调查和投后管理等费用支出。</w:t>
      </w:r>
    </w:p>
    <w:p>
      <w:pPr>
        <w:pStyle w:val="18"/>
        <w:keepNext w:val="0"/>
        <w:keepLines w:val="0"/>
        <w:pageBreakBefore w:val="0"/>
        <w:widowControl w:val="0"/>
        <w:numPr>
          <w:ilvl w:val="0"/>
          <w:numId w:val="0"/>
        </w:numPr>
        <w:kinsoku/>
        <w:wordWrap/>
        <w:overflowPunct/>
        <w:topLinePunct w:val="0"/>
        <w:bidi w:val="0"/>
        <w:adjustRightInd/>
        <w:snapToGrid/>
        <w:spacing w:line="600" w:lineRule="exact"/>
        <w:jc w:val="center"/>
        <w:textAlignment w:val="auto"/>
        <w:rPr>
          <w:rFonts w:ascii="黑体" w:hAnsi="宋体" w:eastAsia="黑体"/>
          <w:b w:val="0"/>
          <w:bCs w:val="0"/>
          <w:sz w:val="32"/>
          <w:szCs w:val="32"/>
        </w:rPr>
      </w:pPr>
      <w:r>
        <w:rPr>
          <w:rFonts w:hint="eastAsia" w:ascii="黑体" w:hAnsi="宋体" w:eastAsia="黑体"/>
          <w:b w:val="0"/>
          <w:bCs w:val="0"/>
          <w:sz w:val="32"/>
          <w:szCs w:val="32"/>
          <w:lang w:eastAsia="zh-CN"/>
        </w:rPr>
        <w:t>第三章</w:t>
      </w:r>
      <w:r>
        <w:rPr>
          <w:rFonts w:hint="eastAsia" w:ascii="黑体" w:hAnsi="宋体" w:eastAsia="黑体"/>
          <w:b w:val="0"/>
          <w:bCs w:val="0"/>
          <w:sz w:val="32"/>
          <w:szCs w:val="32"/>
          <w:lang w:val="en-US" w:eastAsia="zh-CN"/>
        </w:rPr>
        <w:t xml:space="preserve">  </w:t>
      </w:r>
      <w:r>
        <w:rPr>
          <w:rFonts w:hint="eastAsia" w:ascii="黑体" w:hAnsi="宋体" w:eastAsia="黑体"/>
          <w:b w:val="0"/>
          <w:bCs w:val="0"/>
          <w:sz w:val="32"/>
          <w:szCs w:val="32"/>
        </w:rPr>
        <w:t>投资原则</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ascii="仿宋_GB2312" w:eastAsia="仿宋_GB2312"/>
          <w:b w:val="0"/>
          <w:bCs w:val="0"/>
          <w:sz w:val="32"/>
          <w:szCs w:val="32"/>
        </w:rPr>
      </w:pPr>
      <w:r>
        <w:rPr>
          <w:rFonts w:hint="eastAsia" w:ascii="黑体" w:hAnsi="黑体" w:eastAsia="黑体" w:cs="黑体"/>
          <w:b w:val="0"/>
          <w:bCs w:val="0"/>
          <w:sz w:val="32"/>
          <w:szCs w:val="32"/>
        </w:rPr>
        <w:t xml:space="preserve">第十条 </w:t>
      </w:r>
      <w:r>
        <w:rPr>
          <w:rFonts w:hint="eastAsia" w:ascii="仿宋_GB2312" w:eastAsia="仿宋_GB2312"/>
          <w:b w:val="0"/>
          <w:bCs w:val="0"/>
          <w:sz w:val="32"/>
          <w:szCs w:val="32"/>
        </w:rPr>
        <w:t xml:space="preserve"> </w:t>
      </w:r>
      <w:r>
        <w:rPr>
          <w:rFonts w:hint="eastAsia" w:ascii="仿宋_GB2312" w:eastAsia="仿宋_GB2312"/>
          <w:b w:val="0"/>
          <w:bCs w:val="0"/>
          <w:sz w:val="32"/>
          <w:szCs w:val="32"/>
          <w:lang w:val="en-US"/>
        </w:rPr>
        <w:t>投资方向应符合本办法第五条规定，投资本办法第五条之外领域需经基金决策委员会批准。</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hint="eastAsia" w:ascii="仿宋_GB2312" w:eastAsia="仿宋_GB2312"/>
          <w:b w:val="0"/>
          <w:bCs w:val="0"/>
          <w:sz w:val="32"/>
          <w:szCs w:val="32"/>
          <w:lang w:val="en-US"/>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eastAsia="仿宋_GB2312"/>
          <w:b w:val="0"/>
          <w:bCs w:val="0"/>
          <w:sz w:val="32"/>
          <w:szCs w:val="32"/>
          <w:lang w:val="en-US"/>
        </w:rPr>
        <w:t>引导基金出资母基金的比例不超过母基金规模的50%，母基金出资比例不超过子基金规模的50%。基金对于单个企业的累计投资金额原则上不超过合伙企业认缴出资总额的20%；基金对单个企业股权投资的资金总额不超过被投资企业总股本的40%。引导基金直接投资企业(项目)的，出资额占被投资企业的股比原则上不超过其总股本的25%，且不为第一大股东，与其他国有股东投资合并为第一大股东的除外。</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eastAsia="仿宋_GB2312"/>
          <w:b w:val="0"/>
          <w:bCs w:val="0"/>
          <w:sz w:val="32"/>
          <w:szCs w:val="32"/>
          <w:lang w:val="en-US"/>
        </w:rPr>
        <w:t>母</w:t>
      </w:r>
      <w:r>
        <w:rPr>
          <w:rFonts w:hint="eastAsia" w:ascii="仿宋_GB2312" w:eastAsia="仿宋_GB2312"/>
          <w:b w:val="0"/>
          <w:bCs w:val="0"/>
          <w:spacing w:val="-6"/>
          <w:sz w:val="32"/>
          <w:szCs w:val="32"/>
        </w:rPr>
        <w:t>(子)</w:t>
      </w:r>
      <w:r>
        <w:rPr>
          <w:rFonts w:hint="eastAsia" w:ascii="仿宋_GB2312" w:eastAsia="仿宋_GB2312"/>
          <w:b w:val="0"/>
          <w:bCs w:val="0"/>
          <w:sz w:val="32"/>
          <w:szCs w:val="32"/>
          <w:lang w:val="en-US"/>
        </w:rPr>
        <w:t xml:space="preserve">基金的基金管理机构应符合以下条件: </w:t>
      </w:r>
      <w:r>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t xml:space="preserve"> </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t>（一）</w:t>
      </w:r>
      <w:r>
        <w:rPr>
          <w:rFonts w:hint="eastAsia" w:ascii="仿宋_GB2312" w:eastAsia="仿宋_GB2312"/>
          <w:b w:val="0"/>
          <w:bCs w:val="0"/>
          <w:sz w:val="32"/>
          <w:szCs w:val="32"/>
          <w:lang w:val="en-US"/>
        </w:rPr>
        <w:t>依法在中国境内设立，公司治理、内控机制和管理制度健全有效；</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t>（二）</w:t>
      </w:r>
      <w:r>
        <w:rPr>
          <w:rFonts w:hint="eastAsia" w:ascii="仿宋_GB2312" w:eastAsia="仿宋_GB2312"/>
          <w:b w:val="0"/>
          <w:bCs w:val="0"/>
          <w:sz w:val="32"/>
          <w:szCs w:val="32"/>
          <w:lang w:val="en-US"/>
        </w:rPr>
        <w:t>有健全的激励约束机制、跟进投资机制、资产托管机制和风险隔离机制；</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pPr>
      <w:r>
        <w:rPr>
          <w:rFonts w:hint="eastAsia" w:ascii="仿宋_GB2312" w:eastAsia="仿宋_GB2312"/>
          <w:b w:val="0"/>
          <w:bCs w:val="0"/>
          <w:sz w:val="32"/>
          <w:szCs w:val="32"/>
        </w:rPr>
        <w:t>（</w:t>
      </w:r>
      <w:r>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t>三）</w:t>
      </w:r>
      <w:r>
        <w:rPr>
          <w:rFonts w:hint="eastAsia" w:ascii="仿宋_GB2312" w:eastAsia="仿宋_GB2312"/>
          <w:b w:val="0"/>
          <w:bCs w:val="0"/>
          <w:sz w:val="32"/>
          <w:szCs w:val="32"/>
          <w:lang w:val="en-US"/>
        </w:rPr>
        <w:t>接受引导基金管理人对涉及资金投资的质询，并根据母基金管理人需要，向母基金管理人报告有关情况；</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t>（四）</w:t>
      </w:r>
      <w:r>
        <w:rPr>
          <w:rFonts w:hint="eastAsia" w:ascii="仿宋_GB2312" w:eastAsia="仿宋_GB2312"/>
          <w:b w:val="0"/>
          <w:bCs w:val="0"/>
          <w:sz w:val="32"/>
          <w:szCs w:val="32"/>
          <w:lang w:val="en-US"/>
        </w:rPr>
        <w:t>母</w:t>
      </w:r>
      <w:r>
        <w:rPr>
          <w:rFonts w:hint="eastAsia" w:ascii="仿宋_GB2312" w:eastAsia="仿宋_GB2312"/>
          <w:b w:val="0"/>
          <w:bCs w:val="0"/>
          <w:spacing w:val="-6"/>
          <w:sz w:val="32"/>
          <w:szCs w:val="32"/>
        </w:rPr>
        <w:t>(子)</w:t>
      </w:r>
      <w:r>
        <w:rPr>
          <w:rFonts w:hint="eastAsia" w:ascii="仿宋_GB2312" w:eastAsia="仿宋_GB2312"/>
          <w:b w:val="0"/>
          <w:bCs w:val="0"/>
          <w:sz w:val="32"/>
          <w:szCs w:val="32"/>
          <w:lang w:val="en-US"/>
        </w:rPr>
        <w:t>基金管理机构可由申请机构或其关联方担任，</w:t>
      </w:r>
      <w:r>
        <w:rPr>
          <w:rFonts w:hint="eastAsia" w:ascii="仿宋_GB2312" w:eastAsia="仿宋_GB2312"/>
          <w:b w:val="0"/>
          <w:bCs w:val="0"/>
          <w:sz w:val="32"/>
          <w:szCs w:val="32"/>
          <w:lang w:val="en-US" w:eastAsia="zh-CN"/>
        </w:rPr>
        <w:t>实缴</w:t>
      </w:r>
      <w:r>
        <w:rPr>
          <w:rFonts w:hint="eastAsia" w:ascii="仿宋_GB2312" w:eastAsia="仿宋_GB2312"/>
          <w:b w:val="0"/>
          <w:bCs w:val="0"/>
          <w:sz w:val="32"/>
          <w:szCs w:val="32"/>
          <w:lang w:val="en-US"/>
        </w:rPr>
        <w:t>资本不低于1000万元人民币；</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t>（五）</w:t>
      </w:r>
      <w:r>
        <w:rPr>
          <w:rFonts w:hint="eastAsia" w:ascii="仿宋_GB2312" w:eastAsia="仿宋_GB2312"/>
          <w:b w:val="0"/>
          <w:bCs w:val="0"/>
          <w:sz w:val="32"/>
          <w:szCs w:val="32"/>
          <w:lang w:val="en-US"/>
        </w:rPr>
        <w:t>核心管理人员历史业绩优秀，具有丰富的产业投资管理经验，为投资基金配备专属且稳定的管理团队；管理团队主要成员无受过行政主管机关或司法机关处罚的不良记录；</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t>（六）</w:t>
      </w:r>
      <w:r>
        <w:rPr>
          <w:rFonts w:hint="eastAsia" w:ascii="仿宋_GB2312" w:eastAsia="仿宋_GB2312"/>
          <w:b w:val="0"/>
          <w:bCs w:val="0"/>
          <w:sz w:val="32"/>
          <w:szCs w:val="32"/>
          <w:lang w:val="en-US"/>
        </w:rPr>
        <w:t>风险控制：管理和投资运作规范，具有完整的投资决策程序、风险控制机制和健全的财务管理制度。</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ascii="仿宋_GB2312" w:eastAsia="仿宋_GB2312"/>
          <w:b w:val="0"/>
          <w:bCs w:val="0"/>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eastAsia="仿宋_GB2312"/>
          <w:b w:val="0"/>
          <w:bCs w:val="0"/>
          <w:sz w:val="32"/>
          <w:szCs w:val="32"/>
        </w:rPr>
        <w:t xml:space="preserve">  </w:t>
      </w:r>
      <w:r>
        <w:rPr>
          <w:rFonts w:hint="eastAsia" w:ascii="仿宋_GB2312" w:eastAsia="仿宋_GB2312"/>
          <w:b w:val="0"/>
          <w:bCs w:val="0"/>
          <w:sz w:val="32"/>
          <w:szCs w:val="32"/>
          <w:lang w:val="en-US"/>
        </w:rPr>
        <w:t>母</w:t>
      </w:r>
      <w:r>
        <w:rPr>
          <w:rFonts w:hint="eastAsia" w:ascii="仿宋_GB2312" w:eastAsia="仿宋_GB2312"/>
          <w:b w:val="0"/>
          <w:bCs w:val="0"/>
          <w:spacing w:val="-6"/>
          <w:sz w:val="32"/>
          <w:szCs w:val="32"/>
        </w:rPr>
        <w:t>(子)</w:t>
      </w:r>
      <w:r>
        <w:rPr>
          <w:rFonts w:hint="eastAsia" w:ascii="仿宋_GB2312" w:eastAsia="仿宋_GB2312"/>
          <w:b w:val="0"/>
          <w:bCs w:val="0"/>
          <w:sz w:val="32"/>
          <w:szCs w:val="32"/>
          <w:lang w:val="en-US"/>
        </w:rPr>
        <w:t>基金管理机构或其关联方必须作为普通合伙人在子基金中认缴不低于子基金总规模1%的出资额，且已在相关主管部门或行业自律组织登记备案（如为新设机构，必须在引导基金实际出资前取得私募投资基金相关登记备案资质）。</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hint="eastAsia" w:ascii="仿宋_GB2312" w:eastAsia="仿宋_GB2312"/>
          <w:b w:val="0"/>
          <w:bCs w:val="0"/>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lang w:val="en-US"/>
        </w:rPr>
        <w:t>申请引导基金对现有投资基金进行增资的，应征得基金全体出资人同意。</w:t>
      </w:r>
    </w:p>
    <w:p>
      <w:pPr>
        <w:pStyle w:val="9"/>
        <w:keepNext w:val="0"/>
        <w:keepLines w:val="0"/>
        <w:pageBreakBefore w:val="0"/>
        <w:widowControl w:val="0"/>
        <w:shd w:val="clear" w:color="auto" w:fill="FFFFFF"/>
        <w:kinsoku/>
        <w:wordWrap/>
        <w:overflowPunct/>
        <w:topLinePunct w:val="0"/>
        <w:bidi w:val="0"/>
        <w:adjustRightInd/>
        <w:snapToGrid/>
        <w:spacing w:before="0" w:beforeAutospacing="0" w:after="0" w:afterAutospacing="0" w:line="600" w:lineRule="exact"/>
        <w:ind w:firstLine="627" w:firstLineChars="196"/>
        <w:jc w:val="both"/>
        <w:textAlignment w:val="auto"/>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sz w:val="32"/>
          <w:szCs w:val="32"/>
          <w:lang w:val="zh-CN" w:eastAsia="zh-CN" w:bidi="zh-CN"/>
        </w:rPr>
        <w:t>第十五条</w:t>
      </w:r>
      <w:r>
        <w:rPr>
          <w:rFonts w:hint="eastAsia" w:ascii="仿宋_GB2312" w:hAnsi="微软雅黑" w:eastAsia="仿宋_GB2312" w:cs="微软雅黑"/>
          <w:b w:val="0"/>
          <w:bCs w:val="0"/>
          <w:sz w:val="32"/>
          <w:szCs w:val="32"/>
          <w:lang w:val="zh-CN" w:bidi="zh-CN"/>
        </w:rPr>
        <w:t xml:space="preserve">  </w:t>
      </w:r>
      <w:r>
        <w:rPr>
          <w:rFonts w:hint="eastAsia" w:ascii="仿宋_GB2312" w:hAnsi="微软雅黑" w:eastAsia="仿宋_GB2312" w:cs="微软雅黑"/>
          <w:b w:val="0"/>
          <w:bCs w:val="0"/>
          <w:sz w:val="32"/>
          <w:szCs w:val="32"/>
          <w:lang w:val="en-US" w:eastAsia="zh-CN" w:bidi="zh-CN"/>
        </w:rPr>
        <w:t>拟设立母基金的，基金发起人应向引导基金管理人提出申请并提交以下申请材料:申请引导基金出资的报告，基金出资架构，基金章程(协议或合同)草案，基金管理机构情况，经营管理团队人员组成及履历情况，经营业绩资料，基金投资领域，出资人出资意向及出资能力证明等材料</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p>
    <w:p>
      <w:pPr>
        <w:pStyle w:val="9"/>
        <w:keepNext w:val="0"/>
        <w:keepLines w:val="0"/>
        <w:pageBreakBefore w:val="0"/>
        <w:widowControl w:val="0"/>
        <w:shd w:val="clear" w:color="auto" w:fill="FFFFFF"/>
        <w:kinsoku/>
        <w:wordWrap/>
        <w:overflowPunct/>
        <w:topLinePunct w:val="0"/>
        <w:bidi w:val="0"/>
        <w:adjustRightInd/>
        <w:snapToGrid/>
        <w:spacing w:before="0" w:beforeAutospacing="0" w:after="0" w:afterAutospacing="0" w:line="600" w:lineRule="exact"/>
        <w:ind w:firstLine="627" w:firstLineChars="196"/>
        <w:jc w:val="both"/>
        <w:textAlignment w:val="auto"/>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sz w:val="32"/>
          <w:szCs w:val="32"/>
          <w:lang w:val="zh-CN" w:eastAsia="zh-CN" w:bidi="zh-CN"/>
        </w:rPr>
        <w:t xml:space="preserve">第十六条  </w:t>
      </w:r>
      <w:r>
        <w:rPr>
          <w:rFonts w:hint="eastAsia" w:ascii="仿宋_GB2312" w:hAnsi="微软雅黑" w:eastAsia="仿宋_GB2312" w:cs="微软雅黑"/>
          <w:b w:val="0"/>
          <w:bCs w:val="0"/>
          <w:sz w:val="32"/>
          <w:szCs w:val="32"/>
          <w:lang w:val="zh-CN" w:eastAsia="zh-CN" w:bidi="zh-CN"/>
        </w:rPr>
        <w:t>拟</w:t>
      </w:r>
      <w:r>
        <w:rPr>
          <w:rFonts w:hint="eastAsia" w:ascii="仿宋_GB2312" w:hAnsi="微软雅黑" w:eastAsia="仿宋_GB2312" w:cs="微软雅黑"/>
          <w:b w:val="0"/>
          <w:bCs w:val="0"/>
          <w:sz w:val="32"/>
          <w:szCs w:val="32"/>
          <w:lang w:val="en-US" w:eastAsia="zh-CN" w:bidi="zh-CN"/>
        </w:rPr>
        <w:t>设立子基金的，基金发起人应向母基金管理人提出申请并提交以下申请材料:申请引导基金出资的报告，基金出资架构，基金章程(协议或合同)草案，基金管理机构情况，经营管理团队人员组成及履历情况，经营业绩资料，基金投资领域，出资人出资意向及出资能力证明等材料。</w:t>
      </w:r>
    </w:p>
    <w:p>
      <w:pPr>
        <w:pStyle w:val="9"/>
        <w:keepNext w:val="0"/>
        <w:keepLines w:val="0"/>
        <w:pageBreakBefore w:val="0"/>
        <w:widowControl w:val="0"/>
        <w:shd w:val="clear" w:color="auto" w:fill="FFFFFF"/>
        <w:kinsoku/>
        <w:wordWrap/>
        <w:overflowPunct/>
        <w:topLinePunct w:val="0"/>
        <w:bidi w:val="0"/>
        <w:adjustRightInd/>
        <w:snapToGrid/>
        <w:spacing w:before="0" w:beforeAutospacing="0" w:after="0" w:afterAutospacing="0" w:line="600" w:lineRule="exact"/>
        <w:ind w:firstLine="627" w:firstLineChars="196"/>
        <w:jc w:val="both"/>
        <w:textAlignment w:val="auto"/>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sz w:val="32"/>
          <w:szCs w:val="32"/>
          <w:lang w:val="zh-CN" w:eastAsia="zh-CN" w:bidi="zh-CN"/>
        </w:rPr>
        <w:t>第十七条</w:t>
      </w:r>
      <w:r>
        <w:rPr>
          <w:rFonts w:hint="eastAsia" w:ascii="仿宋_GB2312" w:hAnsi="微软雅黑" w:eastAsia="仿宋_GB2312" w:cs="微软雅黑"/>
          <w:b w:val="0"/>
          <w:bCs w:val="0"/>
          <w:sz w:val="32"/>
          <w:szCs w:val="32"/>
          <w:lang w:bidi="zh-CN"/>
        </w:rPr>
        <w:t xml:space="preserve">  </w:t>
      </w:r>
      <w:r>
        <w:rPr>
          <w:rFonts w:hint="eastAsia" w:ascii="仿宋_GB2312" w:hAnsi="微软雅黑" w:eastAsia="仿宋_GB2312" w:cs="微软雅黑"/>
          <w:b w:val="0"/>
          <w:bCs w:val="0"/>
          <w:sz w:val="32"/>
          <w:szCs w:val="32"/>
          <w:lang w:val="en-US" w:eastAsia="zh-CN" w:bidi="zh-CN"/>
        </w:rPr>
        <w:t>母基金应向符合《私募投资基金监督管理暂行办法》等所规定的合格投资者募集资金。以公司制或有限合伙制等形式，通过汇集多数投资者的资金直接或者间接投资于子基金的，基金管理机构应当穿透核查最终投资者是否为合格投资者，并合并计算投资者人数，同时核实各出资人是否符合国家相关政策法规规定的合格投资者要求。</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eastAsia="仿宋_GB2312"/>
          <w:b w:val="0"/>
          <w:bCs w:val="0"/>
          <w:sz w:val="32"/>
          <w:szCs w:val="32"/>
        </w:rPr>
        <w:t xml:space="preserve">  </w:t>
      </w:r>
      <w:r>
        <w:rPr>
          <w:rFonts w:hint="eastAsia" w:ascii="仿宋_GB2312" w:eastAsia="仿宋_GB2312"/>
          <w:b w:val="0"/>
          <w:bCs w:val="0"/>
          <w:sz w:val="32"/>
          <w:szCs w:val="32"/>
          <w:lang w:val="en-US"/>
        </w:rPr>
        <w:t>母基金发起应向引导基金管理人申请，由引导基金管理人审核通过后，开展尽职调查，形成尽职调查报告、基金设立方案，进行协议谈判，签订章程(协议或合同)，并将完成情况向基金决策委员会办公室书面报告并备案。</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ascii="仿宋_GB2312" w:eastAsia="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十九</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eastAsia="仿宋_GB2312"/>
          <w:b w:val="0"/>
          <w:bCs w:val="0"/>
          <w:sz w:val="32"/>
          <w:szCs w:val="32"/>
        </w:rPr>
        <w:t xml:space="preserve"> </w:t>
      </w:r>
      <w:r>
        <w:rPr>
          <w:rFonts w:hint="eastAsia" w:ascii="仿宋_GB2312" w:eastAsia="仿宋_GB2312"/>
          <w:b w:val="0"/>
          <w:bCs w:val="0"/>
          <w:sz w:val="32"/>
          <w:szCs w:val="32"/>
          <w:lang w:val="en-US"/>
        </w:rPr>
        <w:t>基金存续期限原则上为5年，最长不超过7年。确需延长存续期的，报基金决策委员会批准后实施</w:t>
      </w:r>
      <w:r>
        <w:rPr>
          <w:rFonts w:hint="eastAsia" w:ascii="仿宋_GB2312" w:eastAsia="仿宋_GB2312"/>
          <w:b w:val="0"/>
          <w:bCs w:val="0"/>
          <w:sz w:val="32"/>
          <w:szCs w:val="32"/>
        </w:rPr>
        <w:t>。</w:t>
      </w:r>
    </w:p>
    <w:p>
      <w:pPr>
        <w:pStyle w:val="18"/>
        <w:keepNext w:val="0"/>
        <w:keepLines w:val="0"/>
        <w:pageBreakBefore w:val="0"/>
        <w:widowControl w:val="0"/>
        <w:numPr>
          <w:ilvl w:val="0"/>
          <w:numId w:val="0"/>
        </w:numPr>
        <w:kinsoku/>
        <w:wordWrap/>
        <w:overflowPunct/>
        <w:topLinePunct w:val="0"/>
        <w:bidi w:val="0"/>
        <w:adjustRightInd/>
        <w:snapToGrid/>
        <w:spacing w:line="600" w:lineRule="exact"/>
        <w:jc w:val="center"/>
        <w:textAlignment w:val="auto"/>
        <w:rPr>
          <w:rFonts w:ascii="黑体" w:hAnsi="Times New Roman" w:eastAsia="黑体" w:cs="Times New Roman"/>
          <w:b w:val="0"/>
          <w:bCs w:val="0"/>
          <w:sz w:val="32"/>
          <w:szCs w:val="32"/>
        </w:rPr>
      </w:pPr>
      <w:r>
        <w:rPr>
          <w:rFonts w:hint="eastAsia" w:ascii="黑体" w:hAnsi="Times New Roman" w:eastAsia="黑体" w:cs="Times New Roman"/>
          <w:b w:val="0"/>
          <w:bCs w:val="0"/>
          <w:sz w:val="32"/>
          <w:szCs w:val="32"/>
          <w:lang w:eastAsia="zh-CN"/>
        </w:rPr>
        <w:t>第四章</w:t>
      </w:r>
      <w:r>
        <w:rPr>
          <w:rFonts w:hint="eastAsia" w:ascii="黑体" w:hAnsi="Times New Roman" w:eastAsia="黑体" w:cs="Times New Roman"/>
          <w:b w:val="0"/>
          <w:bCs w:val="0"/>
          <w:sz w:val="32"/>
          <w:szCs w:val="32"/>
          <w:lang w:val="en-US" w:eastAsia="zh-CN"/>
        </w:rPr>
        <w:t xml:space="preserve">  </w:t>
      </w:r>
      <w:r>
        <w:rPr>
          <w:rFonts w:hint="eastAsia" w:ascii="黑体" w:hAnsi="Times New Roman" w:eastAsia="黑体" w:cs="Times New Roman"/>
          <w:b w:val="0"/>
          <w:bCs w:val="0"/>
          <w:sz w:val="32"/>
          <w:szCs w:val="32"/>
        </w:rPr>
        <w:t>收益分配</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pPr>
      <w:r>
        <w:rPr>
          <w:rFonts w:hint="eastAsia" w:ascii="黑体" w:hAnsi="黑体" w:eastAsia="黑体" w:cs="黑体"/>
          <w:b w:val="0"/>
          <w:bCs w:val="0"/>
          <w:sz w:val="32"/>
          <w:szCs w:val="32"/>
        </w:rPr>
        <w:t>第二十条</w:t>
      </w:r>
      <w:r>
        <w:rPr>
          <w:rFonts w:hint="eastAsia" w:ascii="仿宋_GB2312" w:eastAsia="仿宋_GB2312"/>
          <w:b w:val="0"/>
          <w:bCs w:val="0"/>
          <w:sz w:val="32"/>
          <w:szCs w:val="32"/>
        </w:rPr>
        <w:t xml:space="preserve">  </w:t>
      </w:r>
      <w:r>
        <w:rPr>
          <w:rFonts w:hint="eastAsia" w:ascii="仿宋_GB2312" w:eastAsia="仿宋_GB2312"/>
          <w:b w:val="0"/>
          <w:bCs w:val="0"/>
          <w:sz w:val="32"/>
          <w:szCs w:val="32"/>
          <w:lang w:val="en-US"/>
        </w:rPr>
        <w:t>基金各出资人应当按照利益共享、风险共担的原则，明确约定收益分配或亏损负担方式。收益分配可按照“先回本后分利、先有限合伙人后普通合伙人”的原则进行，也可根据基金实际情况，协商确定。</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ascii="仿宋_GB2312" w:eastAsia="仿宋_GB2312"/>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_GB2312" w:eastAsia="仿宋_GB2312"/>
          <w:b w:val="0"/>
          <w:bCs w:val="0"/>
          <w:sz w:val="32"/>
          <w:szCs w:val="32"/>
        </w:rPr>
        <w:t xml:space="preserve">  </w:t>
      </w:r>
      <w:r>
        <w:rPr>
          <w:rFonts w:hint="eastAsia" w:ascii="仿宋_GB2312" w:eastAsia="仿宋_GB2312"/>
          <w:b w:val="0"/>
          <w:bCs w:val="0"/>
          <w:sz w:val="32"/>
          <w:szCs w:val="32"/>
          <w:lang w:val="en-US"/>
        </w:rPr>
        <w:t>财政出资部分由分配、清算所获得的资金，应按规定上缴出资财政。</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hint="eastAsia" w:ascii="仿宋_GB2312" w:eastAsia="仿宋_GB2312" w:hAnsiTheme="minorHAnsi" w:cstheme="minorBidi"/>
          <w:color w:val="000000" w:themeColor="text1"/>
          <w:kern w:val="2"/>
          <w:sz w:val="32"/>
          <w:szCs w:val="32"/>
          <w:lang w:val="en-US" w:bidi="ar-SA"/>
          <w14:textFill>
            <w14:solidFill>
              <w14:schemeClr w14:val="tx1"/>
            </w14:solidFill>
          </w14:textFill>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_GB2312" w:eastAsia="仿宋_GB2312"/>
          <w:b w:val="0"/>
          <w:bCs w:val="0"/>
          <w:sz w:val="32"/>
          <w:szCs w:val="32"/>
        </w:rPr>
        <w:t xml:space="preserve">  </w:t>
      </w:r>
      <w:r>
        <w:rPr>
          <w:rFonts w:hint="eastAsia" w:ascii="仿宋_GB2312" w:eastAsia="仿宋_GB2312"/>
          <w:b w:val="0"/>
          <w:bCs w:val="0"/>
          <w:sz w:val="32"/>
          <w:szCs w:val="32"/>
          <w:lang w:val="en-US"/>
        </w:rPr>
        <w:t>根据基金投资项目具体情况，可对社会出资人进行让利，让利以引导基金出资所产生的收益为限，具体由各方协商确定。</w:t>
      </w:r>
    </w:p>
    <w:p>
      <w:pPr>
        <w:pStyle w:val="18"/>
        <w:keepNext w:val="0"/>
        <w:keepLines w:val="0"/>
        <w:pageBreakBefore w:val="0"/>
        <w:widowControl w:val="0"/>
        <w:numPr>
          <w:ilvl w:val="0"/>
          <w:numId w:val="0"/>
        </w:numPr>
        <w:kinsoku/>
        <w:wordWrap/>
        <w:overflowPunct/>
        <w:topLinePunct w:val="0"/>
        <w:bidi w:val="0"/>
        <w:adjustRightInd/>
        <w:snapToGrid/>
        <w:spacing w:line="600" w:lineRule="exact"/>
        <w:jc w:val="center"/>
        <w:textAlignment w:val="auto"/>
        <w:rPr>
          <w:rFonts w:ascii="黑体" w:hAnsi="Times New Roman" w:eastAsia="黑体" w:cs="Times New Roman"/>
          <w:b w:val="0"/>
          <w:bCs w:val="0"/>
          <w:sz w:val="32"/>
          <w:szCs w:val="32"/>
        </w:rPr>
      </w:pPr>
      <w:r>
        <w:rPr>
          <w:rFonts w:hint="eastAsia" w:ascii="黑体" w:hAnsi="Times New Roman" w:eastAsia="黑体" w:cs="Times New Roman"/>
          <w:b w:val="0"/>
          <w:bCs w:val="0"/>
          <w:sz w:val="32"/>
          <w:szCs w:val="32"/>
          <w:lang w:eastAsia="zh-CN"/>
        </w:rPr>
        <w:t>第五章</w:t>
      </w:r>
      <w:r>
        <w:rPr>
          <w:rFonts w:hint="eastAsia" w:ascii="黑体" w:hAnsi="Times New Roman" w:eastAsia="黑体" w:cs="Times New Roman"/>
          <w:b w:val="0"/>
          <w:bCs w:val="0"/>
          <w:sz w:val="32"/>
          <w:szCs w:val="32"/>
          <w:lang w:val="en-US" w:eastAsia="zh-CN"/>
        </w:rPr>
        <w:t xml:space="preserve">  </w:t>
      </w:r>
      <w:r>
        <w:rPr>
          <w:rFonts w:hint="eastAsia" w:ascii="黑体" w:hAnsi="Times New Roman" w:eastAsia="黑体" w:cs="Times New Roman"/>
          <w:b w:val="0"/>
          <w:bCs w:val="0"/>
          <w:sz w:val="32"/>
          <w:szCs w:val="32"/>
        </w:rPr>
        <w:t>基金退出</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ascii="仿宋_GB2312" w:eastAsia="仿宋_GB2312"/>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eastAsia="仿宋_GB2312"/>
          <w:b w:val="0"/>
          <w:bCs w:val="0"/>
          <w:sz w:val="32"/>
          <w:szCs w:val="32"/>
        </w:rPr>
        <w:t xml:space="preserve">  </w:t>
      </w:r>
      <w:r>
        <w:rPr>
          <w:rFonts w:hint="eastAsia" w:ascii="仿宋_GB2312" w:eastAsia="仿宋_GB2312"/>
          <w:b w:val="0"/>
          <w:bCs w:val="0"/>
          <w:sz w:val="32"/>
          <w:szCs w:val="32"/>
          <w:lang w:val="en-US"/>
        </w:rPr>
        <w:t>基金达到投资年限或约定投资条件(如一定的增值率、企业上市、未能实现预期盈利目标等)，通过回购、股权转让、IPO等方式实现项目退出。需要提前退出时，可向基金投资决策委员会提出退出申请，经批复后实施。</w:t>
      </w:r>
    </w:p>
    <w:p>
      <w:pPr>
        <w:pStyle w:val="18"/>
        <w:keepNext w:val="0"/>
        <w:keepLines w:val="0"/>
        <w:pageBreakBefore w:val="0"/>
        <w:widowControl w:val="0"/>
        <w:numPr>
          <w:ilvl w:val="0"/>
          <w:numId w:val="0"/>
        </w:numPr>
        <w:kinsoku/>
        <w:wordWrap/>
        <w:overflowPunct/>
        <w:topLinePunct w:val="0"/>
        <w:bidi w:val="0"/>
        <w:adjustRightInd/>
        <w:snapToGrid/>
        <w:spacing w:line="600" w:lineRule="exact"/>
        <w:jc w:val="center"/>
        <w:textAlignment w:val="auto"/>
        <w:rPr>
          <w:rFonts w:ascii="黑体" w:hAnsi="Times New Roman" w:eastAsia="黑体" w:cs="Times New Roman"/>
          <w:b w:val="0"/>
          <w:bCs w:val="0"/>
          <w:sz w:val="32"/>
          <w:szCs w:val="32"/>
        </w:rPr>
      </w:pPr>
      <w:r>
        <w:rPr>
          <w:rFonts w:hint="eastAsia" w:ascii="黑体" w:hAnsi="Times New Roman" w:eastAsia="黑体" w:cs="Times New Roman"/>
          <w:b w:val="0"/>
          <w:bCs w:val="0"/>
          <w:sz w:val="32"/>
          <w:szCs w:val="32"/>
          <w:lang w:eastAsia="zh-CN"/>
        </w:rPr>
        <w:t>第六章</w:t>
      </w:r>
      <w:r>
        <w:rPr>
          <w:rFonts w:hint="eastAsia" w:ascii="黑体" w:hAnsi="Times New Roman" w:eastAsia="黑体" w:cs="Times New Roman"/>
          <w:b w:val="0"/>
          <w:bCs w:val="0"/>
          <w:sz w:val="32"/>
          <w:szCs w:val="32"/>
          <w:lang w:val="en-US" w:eastAsia="zh-CN"/>
        </w:rPr>
        <w:t xml:space="preserve">  </w:t>
      </w:r>
      <w:r>
        <w:rPr>
          <w:rFonts w:hint="eastAsia" w:ascii="黑体" w:hAnsi="Times New Roman" w:eastAsia="黑体" w:cs="Times New Roman"/>
          <w:b w:val="0"/>
          <w:bCs w:val="0"/>
          <w:sz w:val="32"/>
          <w:szCs w:val="32"/>
        </w:rPr>
        <w:t>风险管控</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ascii="仿宋_GB2312" w:eastAsia="仿宋_GB2312"/>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eastAsia="仿宋_GB2312"/>
          <w:b w:val="0"/>
          <w:bCs w:val="0"/>
          <w:sz w:val="32"/>
          <w:szCs w:val="32"/>
        </w:rPr>
        <w:t xml:space="preserve">  </w:t>
      </w:r>
      <w:r>
        <w:rPr>
          <w:rFonts w:hint="eastAsia" w:ascii="仿宋_GB2312" w:eastAsia="仿宋_GB2312"/>
          <w:b w:val="0"/>
          <w:bCs w:val="0"/>
          <w:sz w:val="32"/>
          <w:szCs w:val="32"/>
          <w:lang w:val="en-US"/>
        </w:rPr>
        <w:t>引导基金、母(子)基金应选择在中国境内设立的商业银行进行托管。托管银行负责基金的资金保管、账户管理、资金清算及日常监管等事务。托管银行应至少符合以下条件</w:t>
      </w:r>
      <w:r>
        <w:rPr>
          <w:rFonts w:hint="eastAsia" w:ascii="仿宋_GB2312" w:eastAsia="仿宋_GB2312"/>
          <w:b w:val="0"/>
          <w:bCs w:val="0"/>
          <w:sz w:val="32"/>
          <w:szCs w:val="32"/>
        </w:rPr>
        <w:t>：</w:t>
      </w:r>
    </w:p>
    <w:p>
      <w:pPr>
        <w:keepNext w:val="0"/>
        <w:keepLines w:val="0"/>
        <w:pageBreakBefore w:val="0"/>
        <w:widowControl w:val="0"/>
        <w:shd w:val="clear" w:color="auto" w:fill="FFFFFF"/>
        <w:kinsoku/>
        <w:wordWrap/>
        <w:overflowPunct/>
        <w:topLinePunct w:val="0"/>
        <w:bidi w:val="0"/>
        <w:adjustRightInd/>
        <w:snapToGrid/>
        <w:spacing w:line="600" w:lineRule="exact"/>
        <w:ind w:firstLine="640"/>
        <w:jc w:val="both"/>
        <w:textAlignment w:val="auto"/>
        <w:rPr>
          <w:rFonts w:ascii="仿宋_GB2312" w:eastAsia="仿宋_GB2312"/>
          <w:b w:val="0"/>
          <w:bCs w:val="0"/>
          <w:sz w:val="32"/>
          <w:szCs w:val="32"/>
        </w:rPr>
      </w:pPr>
      <w:r>
        <w:rPr>
          <w:rFonts w:hint="eastAsia" w:ascii="仿宋_GB2312" w:eastAsia="仿宋_GB2312"/>
          <w:b w:val="0"/>
          <w:bCs w:val="0"/>
          <w:sz w:val="32"/>
          <w:szCs w:val="32"/>
        </w:rPr>
        <w:t>（一）成立时间在</w:t>
      </w:r>
      <w:r>
        <w:rPr>
          <w:rFonts w:ascii="仿宋_GB2312" w:eastAsia="仿宋_GB2312"/>
          <w:b w:val="0"/>
          <w:bCs w:val="0"/>
          <w:sz w:val="32"/>
          <w:szCs w:val="32"/>
        </w:rPr>
        <w:t>5年以上的商业银行；</w:t>
      </w:r>
    </w:p>
    <w:p>
      <w:pPr>
        <w:keepNext w:val="0"/>
        <w:keepLines w:val="0"/>
        <w:pageBreakBefore w:val="0"/>
        <w:widowControl w:val="0"/>
        <w:shd w:val="clear" w:color="auto" w:fill="FFFFFF"/>
        <w:kinsoku/>
        <w:wordWrap/>
        <w:overflowPunct/>
        <w:topLinePunct w:val="0"/>
        <w:bidi w:val="0"/>
        <w:adjustRightInd/>
        <w:snapToGrid/>
        <w:spacing w:line="600" w:lineRule="exact"/>
        <w:ind w:firstLine="640"/>
        <w:jc w:val="both"/>
        <w:textAlignment w:val="auto"/>
        <w:rPr>
          <w:rFonts w:ascii="仿宋_GB2312" w:eastAsia="仿宋_GB2312"/>
          <w:b w:val="0"/>
          <w:bCs w:val="0"/>
          <w:sz w:val="32"/>
          <w:szCs w:val="32"/>
        </w:rPr>
      </w:pPr>
      <w:r>
        <w:rPr>
          <w:rFonts w:hint="eastAsia" w:ascii="仿宋_GB2312" w:eastAsia="仿宋_GB2312"/>
          <w:b w:val="0"/>
          <w:bCs w:val="0"/>
          <w:sz w:val="32"/>
          <w:szCs w:val="32"/>
        </w:rPr>
        <w:t>（二）具有股权投资基金托管经验，具备安全保管和办理托</w:t>
      </w:r>
      <w:r>
        <w:rPr>
          <w:rFonts w:ascii="仿宋_GB2312" w:eastAsia="仿宋_GB2312"/>
          <w:b w:val="0"/>
          <w:bCs w:val="0"/>
          <w:sz w:val="32"/>
          <w:szCs w:val="32"/>
        </w:rPr>
        <w:t>管业务的设施设备以及信息技术系统；</w:t>
      </w:r>
    </w:p>
    <w:p>
      <w:pPr>
        <w:keepNext w:val="0"/>
        <w:keepLines w:val="0"/>
        <w:pageBreakBefore w:val="0"/>
        <w:widowControl w:val="0"/>
        <w:shd w:val="clear" w:color="auto" w:fill="FFFFFF"/>
        <w:kinsoku/>
        <w:wordWrap/>
        <w:overflowPunct/>
        <w:topLinePunct w:val="0"/>
        <w:bidi w:val="0"/>
        <w:adjustRightInd/>
        <w:snapToGrid/>
        <w:spacing w:line="600" w:lineRule="exact"/>
        <w:ind w:firstLine="640"/>
        <w:jc w:val="both"/>
        <w:textAlignment w:val="auto"/>
        <w:rPr>
          <w:rFonts w:ascii="仿宋_GB2312" w:eastAsia="仿宋_GB2312"/>
          <w:b w:val="0"/>
          <w:bCs w:val="0"/>
          <w:sz w:val="32"/>
          <w:szCs w:val="32"/>
        </w:rPr>
      </w:pPr>
      <w:r>
        <w:rPr>
          <w:rFonts w:ascii="仿宋_GB2312" w:eastAsia="仿宋_GB2312"/>
          <w:b w:val="0"/>
          <w:bCs w:val="0"/>
          <w:sz w:val="32"/>
          <w:szCs w:val="32"/>
        </w:rPr>
        <w:t>（三）</w:t>
      </w:r>
      <w:r>
        <w:rPr>
          <w:rFonts w:hint="eastAsia" w:ascii="仿宋_GB2312" w:eastAsia="仿宋_GB2312"/>
          <w:b w:val="0"/>
          <w:bCs w:val="0"/>
          <w:sz w:val="32"/>
          <w:szCs w:val="32"/>
        </w:rPr>
        <w:t>有完善的托管业务流程制度和内部稽核监控以及风险控制制度；</w:t>
      </w:r>
    </w:p>
    <w:p>
      <w:pPr>
        <w:keepNext w:val="0"/>
        <w:keepLines w:val="0"/>
        <w:pageBreakBefore w:val="0"/>
        <w:widowControl w:val="0"/>
        <w:shd w:val="clear" w:color="auto" w:fill="FFFFFF"/>
        <w:kinsoku/>
        <w:wordWrap/>
        <w:overflowPunct/>
        <w:topLinePunct w:val="0"/>
        <w:bidi w:val="0"/>
        <w:adjustRightInd/>
        <w:snapToGrid/>
        <w:spacing w:line="600" w:lineRule="exact"/>
        <w:ind w:firstLine="640"/>
        <w:jc w:val="both"/>
        <w:textAlignment w:val="auto"/>
        <w:rPr>
          <w:rFonts w:hint="eastAsia" w:ascii="仿宋_GB2312" w:eastAsia="仿宋_GB2312"/>
          <w:b w:val="0"/>
          <w:bCs w:val="0"/>
          <w:sz w:val="32"/>
          <w:szCs w:val="32"/>
        </w:rPr>
      </w:pPr>
      <w:r>
        <w:rPr>
          <w:rFonts w:hint="eastAsia" w:ascii="仿宋_GB2312" w:eastAsia="仿宋_GB2312"/>
          <w:b w:val="0"/>
          <w:bCs w:val="0"/>
          <w:sz w:val="32"/>
          <w:szCs w:val="32"/>
        </w:rPr>
        <w:t>（四）在基金托管业务方面最近3年无重大过失以及行政主管部门或司法机关处罚的不良记录。</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ascii="仿宋_GB2312" w:eastAsia="仿宋_GB2312"/>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eastAsia="仿宋_GB2312"/>
          <w:b w:val="0"/>
          <w:bCs w:val="0"/>
          <w:sz w:val="32"/>
          <w:szCs w:val="32"/>
        </w:rPr>
        <w:t xml:space="preserve">  引导基金、母(子)基金托管银行应于每季度结束后10日内分别向基金管理人报送季度基金资金托管报告，并于每个会计年度结束后1个月内报送上一年度的资金托管报告。托管银行应监控基金资金流向，对流向异常的事项随时向基金管理人报告并暂停支付。</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ascii="仿宋_GB2312" w:eastAsia="仿宋_GB2312"/>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_GB2312" w:eastAsia="仿宋_GB2312"/>
          <w:b w:val="0"/>
          <w:bCs w:val="0"/>
          <w:sz w:val="32"/>
          <w:szCs w:val="32"/>
        </w:rPr>
        <w:t xml:space="preserve">  母</w:t>
      </w:r>
      <w:r>
        <w:rPr>
          <w:rFonts w:hint="eastAsia" w:ascii="仿宋_GB2312" w:eastAsia="仿宋_GB2312"/>
          <w:b w:val="0"/>
          <w:bCs w:val="0"/>
          <w:spacing w:val="-6"/>
          <w:sz w:val="32"/>
          <w:szCs w:val="32"/>
        </w:rPr>
        <w:t>(子)</w:t>
      </w:r>
      <w:r>
        <w:rPr>
          <w:rFonts w:hint="eastAsia" w:ascii="仿宋_GB2312" w:eastAsia="仿宋_GB2312"/>
          <w:b w:val="0"/>
          <w:bCs w:val="0"/>
          <w:sz w:val="32"/>
          <w:szCs w:val="32"/>
        </w:rPr>
        <w:t>基金拟成立前，应与地方金融监管部门对接沟通，报送基金设立方案，以及风险管理、内部控制等业务规则和管理制度。批准成立后，基金管理机构应在5个工作日内，到地方金融机构进行备案，并按照有关法律法规要求，加强行业自律。</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hint="eastAsia" w:ascii="仿宋_GB2312" w:eastAsia="仿宋_GB2312"/>
          <w:b w:val="0"/>
          <w:bCs w:val="0"/>
          <w:sz w:val="32"/>
          <w:szCs w:val="32"/>
        </w:rPr>
      </w:pPr>
      <w:r>
        <w:rPr>
          <w:rFonts w:hint="eastAsia" w:ascii="仿宋_GB2312" w:eastAsia="仿宋_GB2312"/>
          <w:b w:val="0"/>
          <w:bCs w:val="0"/>
          <w:sz w:val="32"/>
          <w:szCs w:val="32"/>
        </w:rPr>
        <w:t>母基金管理机构应按规定向引导基金管理人报送业务情况、财务会计报告和合并、分立、控股权变更等其他重大事项。报送内容应当真实、完整。</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ascii="仿宋_GB2312" w:eastAsia="仿宋_GB2312"/>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eastAsia="仿宋_GB2312"/>
          <w:b w:val="0"/>
          <w:bCs w:val="0"/>
          <w:sz w:val="32"/>
          <w:szCs w:val="32"/>
        </w:rPr>
        <w:t xml:space="preserve">  子基金管理机构按季度向母基金管理人提交《基金运行报告》和会计报表，并于每个会计年度终了后4个月内，向母基金管理人提交经注册会计师审计的年度会计报告和年度运行情况报告。</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ascii="仿宋_GB2312" w:eastAsia="仿宋_GB2312"/>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eastAsia="仿宋_GB2312"/>
          <w:b w:val="0"/>
          <w:bCs w:val="0"/>
          <w:sz w:val="32"/>
          <w:szCs w:val="32"/>
        </w:rPr>
        <w:t xml:space="preserve">  母基金管理人按季度向基金决策委员会办公室汇报基金托管情况及重大事项，于每个会计年度终了后4个月内报送经注册会计师审计的母基金年度会计报告和引导基金年度运行情况报告。</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ascii="仿宋_GB2312" w:eastAsia="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二十九</w:t>
      </w:r>
      <w:r>
        <w:rPr>
          <w:rFonts w:hint="eastAsia" w:ascii="黑体" w:hAnsi="黑体" w:eastAsia="黑体" w:cs="黑体"/>
          <w:b w:val="0"/>
          <w:bCs w:val="0"/>
          <w:sz w:val="32"/>
          <w:szCs w:val="32"/>
        </w:rPr>
        <w:t xml:space="preserve">条 </w:t>
      </w:r>
      <w:r>
        <w:rPr>
          <w:rFonts w:hint="eastAsia" w:ascii="仿宋_GB2312" w:eastAsia="仿宋_GB2312"/>
          <w:b w:val="0"/>
          <w:bCs w:val="0"/>
          <w:sz w:val="32"/>
          <w:szCs w:val="32"/>
        </w:rPr>
        <w:t xml:space="preserve"> 引导基金、母基金、子基金不得从事以下业务:</w:t>
      </w:r>
    </w:p>
    <w:p>
      <w:pPr>
        <w:keepNext w:val="0"/>
        <w:keepLines w:val="0"/>
        <w:pageBreakBefore w:val="0"/>
        <w:widowControl w:val="0"/>
        <w:shd w:val="clear" w:color="auto" w:fill="FFFFFF"/>
        <w:kinsoku/>
        <w:wordWrap/>
        <w:overflowPunct/>
        <w:topLinePunct w:val="0"/>
        <w:bidi w:val="0"/>
        <w:adjustRightInd/>
        <w:snapToGrid/>
        <w:spacing w:line="600" w:lineRule="exact"/>
        <w:ind w:firstLine="640"/>
        <w:jc w:val="both"/>
        <w:textAlignment w:val="auto"/>
        <w:rPr>
          <w:rFonts w:ascii="仿宋_GB2312" w:eastAsia="仿宋_GB2312"/>
          <w:b w:val="0"/>
          <w:bCs w:val="0"/>
          <w:sz w:val="32"/>
          <w:szCs w:val="32"/>
        </w:rPr>
      </w:pPr>
      <w:r>
        <w:rPr>
          <w:rFonts w:hint="eastAsia" w:ascii="仿宋_GB2312" w:eastAsia="仿宋_GB2312"/>
          <w:b w:val="0"/>
          <w:bCs w:val="0"/>
          <w:sz w:val="32"/>
          <w:szCs w:val="32"/>
          <w:lang w:eastAsia="zh-CN"/>
        </w:rPr>
        <w:t>（</w:t>
      </w:r>
      <w:r>
        <w:rPr>
          <w:rFonts w:hint="eastAsia" w:ascii="仿宋_GB2312" w:eastAsia="仿宋_GB2312"/>
          <w:b w:val="0"/>
          <w:bCs w:val="0"/>
          <w:sz w:val="32"/>
          <w:szCs w:val="32"/>
        </w:rPr>
        <w:t>一</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融资担保以外的担保、抵押、委托贷款等业务;</w:t>
      </w:r>
    </w:p>
    <w:p>
      <w:pPr>
        <w:keepNext w:val="0"/>
        <w:keepLines w:val="0"/>
        <w:pageBreakBefore w:val="0"/>
        <w:widowControl w:val="0"/>
        <w:shd w:val="clear" w:color="auto" w:fill="FFFFFF"/>
        <w:kinsoku/>
        <w:wordWrap/>
        <w:overflowPunct/>
        <w:topLinePunct w:val="0"/>
        <w:bidi w:val="0"/>
        <w:adjustRightInd/>
        <w:snapToGrid/>
        <w:spacing w:line="600" w:lineRule="exact"/>
        <w:ind w:firstLine="640"/>
        <w:jc w:val="both"/>
        <w:textAlignment w:val="auto"/>
        <w:rPr>
          <w:rFonts w:ascii="仿宋_GB2312" w:eastAsia="仿宋_GB2312"/>
          <w:b w:val="0"/>
          <w:bCs w:val="0"/>
          <w:sz w:val="32"/>
          <w:szCs w:val="32"/>
        </w:rPr>
      </w:pPr>
      <w:r>
        <w:rPr>
          <w:rFonts w:hint="eastAsia" w:ascii="仿宋_GB2312" w:eastAsia="仿宋_GB2312"/>
          <w:b w:val="0"/>
          <w:bCs w:val="0"/>
          <w:sz w:val="32"/>
          <w:szCs w:val="32"/>
          <w:lang w:eastAsia="zh-CN"/>
        </w:rPr>
        <w:t>（</w:t>
      </w:r>
      <w:r>
        <w:rPr>
          <w:rFonts w:hint="eastAsia" w:ascii="仿宋_GB2312" w:eastAsia="仿宋_GB2312"/>
          <w:b w:val="0"/>
          <w:bCs w:val="0"/>
          <w:sz w:val="32"/>
          <w:szCs w:val="32"/>
        </w:rPr>
        <w:t>二</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投资于二级市场股票、期货、房地产、证券投资基金、评级AAA级以下的企业债券、信托产品、非保本型理财产品、保险计划及其他金融衍生品;</w:t>
      </w:r>
    </w:p>
    <w:p>
      <w:pPr>
        <w:keepNext w:val="0"/>
        <w:keepLines w:val="0"/>
        <w:pageBreakBefore w:val="0"/>
        <w:widowControl w:val="0"/>
        <w:shd w:val="clear" w:color="auto" w:fill="FFFFFF"/>
        <w:kinsoku/>
        <w:wordWrap/>
        <w:overflowPunct/>
        <w:topLinePunct w:val="0"/>
        <w:bidi w:val="0"/>
        <w:adjustRightInd/>
        <w:snapToGrid/>
        <w:spacing w:line="600" w:lineRule="exact"/>
        <w:ind w:firstLine="640"/>
        <w:jc w:val="both"/>
        <w:textAlignment w:val="auto"/>
        <w:rPr>
          <w:rFonts w:ascii="仿宋_GB2312" w:eastAsia="仿宋_GB2312"/>
          <w:b w:val="0"/>
          <w:bCs w:val="0"/>
          <w:sz w:val="32"/>
          <w:szCs w:val="32"/>
        </w:rPr>
      </w:pPr>
      <w:r>
        <w:rPr>
          <w:rFonts w:hint="eastAsia" w:ascii="仿宋_GB2312" w:eastAsia="仿宋_GB2312"/>
          <w:b w:val="0"/>
          <w:bCs w:val="0"/>
          <w:sz w:val="32"/>
          <w:szCs w:val="32"/>
          <w:lang w:eastAsia="zh-CN"/>
        </w:rPr>
        <w:t>（</w:t>
      </w:r>
      <w:r>
        <w:rPr>
          <w:rFonts w:hint="eastAsia" w:ascii="仿宋_GB2312" w:eastAsia="仿宋_GB2312"/>
          <w:b w:val="0"/>
          <w:bCs w:val="0"/>
          <w:sz w:val="32"/>
          <w:szCs w:val="32"/>
        </w:rPr>
        <w:t>三</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向任何第三方提供赞助、捐赠(经批准的公益性捐赠除外);</w:t>
      </w:r>
    </w:p>
    <w:p>
      <w:pPr>
        <w:keepNext w:val="0"/>
        <w:keepLines w:val="0"/>
        <w:pageBreakBefore w:val="0"/>
        <w:widowControl w:val="0"/>
        <w:shd w:val="clear" w:color="auto" w:fill="FFFFFF"/>
        <w:kinsoku/>
        <w:wordWrap/>
        <w:overflowPunct/>
        <w:topLinePunct w:val="0"/>
        <w:bidi w:val="0"/>
        <w:adjustRightInd/>
        <w:snapToGrid/>
        <w:spacing w:line="600" w:lineRule="exact"/>
        <w:ind w:firstLine="640"/>
        <w:jc w:val="both"/>
        <w:textAlignment w:val="auto"/>
        <w:rPr>
          <w:rFonts w:ascii="仿宋_GB2312" w:eastAsia="仿宋_GB2312"/>
          <w:b w:val="0"/>
          <w:bCs w:val="0"/>
          <w:spacing w:val="-11"/>
          <w:sz w:val="32"/>
          <w:szCs w:val="32"/>
        </w:rPr>
      </w:pPr>
      <w:r>
        <w:rPr>
          <w:rFonts w:hint="eastAsia" w:ascii="仿宋_GB2312" w:eastAsia="仿宋_GB2312"/>
          <w:b w:val="0"/>
          <w:bCs w:val="0"/>
          <w:sz w:val="32"/>
          <w:szCs w:val="32"/>
          <w:lang w:eastAsia="zh-CN"/>
        </w:rPr>
        <w:t>（</w:t>
      </w:r>
      <w:r>
        <w:rPr>
          <w:rFonts w:hint="eastAsia" w:ascii="仿宋_GB2312" w:eastAsia="仿宋_GB2312"/>
          <w:b w:val="0"/>
          <w:bCs w:val="0"/>
          <w:sz w:val="32"/>
          <w:szCs w:val="32"/>
        </w:rPr>
        <w:t>四</w:t>
      </w:r>
      <w:r>
        <w:rPr>
          <w:rFonts w:hint="eastAsia" w:ascii="仿宋_GB2312" w:eastAsia="仿宋_GB2312"/>
          <w:b w:val="0"/>
          <w:bCs w:val="0"/>
          <w:sz w:val="32"/>
          <w:szCs w:val="32"/>
          <w:lang w:eastAsia="zh-CN"/>
        </w:rPr>
        <w:t>）</w:t>
      </w:r>
      <w:r>
        <w:rPr>
          <w:rFonts w:hint="eastAsia" w:ascii="仿宋_GB2312" w:eastAsia="仿宋_GB2312"/>
          <w:b w:val="0"/>
          <w:bCs w:val="0"/>
          <w:spacing w:val="-11"/>
          <w:sz w:val="32"/>
          <w:szCs w:val="32"/>
        </w:rPr>
        <w:t>吸收或变相吸收存款，或向第三方提供贷款和资金拆借;</w:t>
      </w:r>
    </w:p>
    <w:p>
      <w:pPr>
        <w:keepNext w:val="0"/>
        <w:keepLines w:val="0"/>
        <w:pageBreakBefore w:val="0"/>
        <w:widowControl w:val="0"/>
        <w:shd w:val="clear" w:color="auto" w:fill="FFFFFF"/>
        <w:kinsoku/>
        <w:wordWrap/>
        <w:overflowPunct/>
        <w:topLinePunct w:val="0"/>
        <w:bidi w:val="0"/>
        <w:adjustRightInd/>
        <w:snapToGrid/>
        <w:spacing w:line="600" w:lineRule="exact"/>
        <w:ind w:firstLine="640"/>
        <w:jc w:val="both"/>
        <w:textAlignment w:val="auto"/>
        <w:rPr>
          <w:rFonts w:ascii="仿宋_GB2312" w:eastAsia="仿宋_GB2312"/>
          <w:b w:val="0"/>
          <w:bCs w:val="0"/>
          <w:sz w:val="32"/>
          <w:szCs w:val="32"/>
        </w:rPr>
      </w:pPr>
      <w:r>
        <w:rPr>
          <w:rFonts w:hint="eastAsia" w:ascii="仿宋_GB2312" w:eastAsia="仿宋_GB2312"/>
          <w:b w:val="0"/>
          <w:bCs w:val="0"/>
          <w:sz w:val="32"/>
          <w:szCs w:val="32"/>
          <w:lang w:eastAsia="zh-CN"/>
        </w:rPr>
        <w:t>（</w:t>
      </w:r>
      <w:r>
        <w:rPr>
          <w:rFonts w:hint="eastAsia" w:ascii="仿宋_GB2312" w:eastAsia="仿宋_GB2312"/>
          <w:b w:val="0"/>
          <w:bCs w:val="0"/>
          <w:sz w:val="32"/>
          <w:szCs w:val="32"/>
        </w:rPr>
        <w:t>五</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进行承担无限连带责任的对外投资;</w:t>
      </w:r>
    </w:p>
    <w:p>
      <w:pPr>
        <w:keepNext w:val="0"/>
        <w:keepLines w:val="0"/>
        <w:pageBreakBefore w:val="0"/>
        <w:widowControl w:val="0"/>
        <w:shd w:val="clear" w:color="auto" w:fill="FFFFFF"/>
        <w:kinsoku/>
        <w:wordWrap/>
        <w:overflowPunct/>
        <w:topLinePunct w:val="0"/>
        <w:bidi w:val="0"/>
        <w:adjustRightInd/>
        <w:snapToGrid/>
        <w:spacing w:line="600" w:lineRule="exact"/>
        <w:ind w:firstLine="640"/>
        <w:jc w:val="both"/>
        <w:textAlignment w:val="auto"/>
        <w:rPr>
          <w:rFonts w:ascii="仿宋_GB2312" w:eastAsia="仿宋_GB2312"/>
          <w:b w:val="0"/>
          <w:bCs w:val="0"/>
          <w:sz w:val="32"/>
          <w:szCs w:val="32"/>
        </w:rPr>
      </w:pPr>
      <w:r>
        <w:rPr>
          <w:rFonts w:hint="eastAsia" w:ascii="仿宋_GB2312" w:eastAsia="仿宋_GB2312"/>
          <w:b w:val="0"/>
          <w:bCs w:val="0"/>
          <w:sz w:val="32"/>
          <w:szCs w:val="32"/>
          <w:lang w:eastAsia="zh-CN"/>
        </w:rPr>
        <w:t>（</w:t>
      </w:r>
      <w:r>
        <w:rPr>
          <w:rFonts w:hint="eastAsia" w:ascii="仿宋_GB2312" w:eastAsia="仿宋_GB2312"/>
          <w:b w:val="0"/>
          <w:bCs w:val="0"/>
          <w:sz w:val="32"/>
          <w:szCs w:val="32"/>
        </w:rPr>
        <w:t>六</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发行信托或集合理财产品募集资金;</w:t>
      </w:r>
    </w:p>
    <w:p>
      <w:pPr>
        <w:keepNext w:val="0"/>
        <w:keepLines w:val="0"/>
        <w:pageBreakBefore w:val="0"/>
        <w:widowControl w:val="0"/>
        <w:shd w:val="clear" w:color="auto" w:fill="FFFFFF"/>
        <w:kinsoku/>
        <w:wordWrap/>
        <w:overflowPunct/>
        <w:topLinePunct w:val="0"/>
        <w:bidi w:val="0"/>
        <w:adjustRightInd/>
        <w:snapToGrid/>
        <w:spacing w:line="600" w:lineRule="exact"/>
        <w:ind w:firstLine="640"/>
        <w:jc w:val="both"/>
        <w:textAlignment w:val="auto"/>
        <w:rPr>
          <w:rFonts w:ascii="仿宋_GB2312" w:eastAsia="仿宋_GB2312"/>
          <w:b w:val="0"/>
          <w:bCs w:val="0"/>
          <w:sz w:val="32"/>
          <w:szCs w:val="32"/>
        </w:rPr>
      </w:pPr>
      <w:r>
        <w:rPr>
          <w:rFonts w:hint="eastAsia" w:ascii="仿宋_GB2312" w:eastAsia="仿宋_GB2312"/>
          <w:b w:val="0"/>
          <w:bCs w:val="0"/>
          <w:sz w:val="32"/>
          <w:szCs w:val="32"/>
          <w:lang w:eastAsia="zh-CN"/>
        </w:rPr>
        <w:t>（</w:t>
      </w:r>
      <w:r>
        <w:rPr>
          <w:rFonts w:hint="eastAsia" w:ascii="仿宋_GB2312" w:eastAsia="仿宋_GB2312"/>
          <w:b w:val="0"/>
          <w:bCs w:val="0"/>
          <w:sz w:val="32"/>
          <w:szCs w:val="32"/>
        </w:rPr>
        <w:t>七</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其他国家法律法规禁止从事的业务。</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ascii="仿宋_GB2312" w:eastAsia="仿宋_GB2312"/>
          <w:b w:val="0"/>
          <w:bCs w:val="0"/>
          <w:sz w:val="32"/>
          <w:szCs w:val="32"/>
        </w:rPr>
      </w:pPr>
      <w:r>
        <w:rPr>
          <w:rFonts w:hint="eastAsia" w:ascii="黑体" w:hAnsi="黑体" w:eastAsia="黑体" w:cs="黑体"/>
          <w:b w:val="0"/>
          <w:bCs w:val="0"/>
          <w:sz w:val="32"/>
          <w:szCs w:val="32"/>
        </w:rPr>
        <w:t>第三十条</w:t>
      </w:r>
      <w:r>
        <w:rPr>
          <w:rFonts w:hint="eastAsia" w:ascii="仿宋_GB2312" w:eastAsia="仿宋_GB2312"/>
          <w:b w:val="0"/>
          <w:bCs w:val="0"/>
          <w:sz w:val="32"/>
          <w:szCs w:val="32"/>
        </w:rPr>
        <w:t xml:space="preserve">  基金不承诺回购社会出资人的投资本金，不以任何方式承担社会出资人的投资本金损失，不以任何方式向社会出资人承诺最低收益，不变相举债。</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ascii="仿宋_GB2312" w:eastAsia="仿宋_GB2312"/>
          <w:b w:val="0"/>
          <w:bCs w:val="0"/>
          <w:spacing w:val="-6"/>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_GB2312" w:eastAsia="仿宋_GB2312"/>
          <w:b w:val="0"/>
          <w:bCs w:val="0"/>
          <w:sz w:val="32"/>
          <w:szCs w:val="32"/>
        </w:rPr>
        <w:t xml:space="preserve">  </w:t>
      </w:r>
      <w:r>
        <w:rPr>
          <w:rFonts w:hint="eastAsia" w:ascii="仿宋_GB2312" w:eastAsia="仿宋_GB2312"/>
          <w:b w:val="0"/>
          <w:bCs w:val="0"/>
          <w:spacing w:val="-6"/>
          <w:sz w:val="32"/>
          <w:szCs w:val="32"/>
        </w:rPr>
        <w:t>引导基金管理人向母(子)基金委派代表参与基金投资管理，对违反本办法、违反章程(协议或合同)及其他违法违规事项，有权要求相应基金管理机构限期整改或实行一票否决。</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ascii="仿宋_GB2312" w:eastAsia="仿宋_GB2312"/>
          <w:b w:val="0"/>
          <w:bCs w:val="0"/>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_GB2312" w:eastAsia="仿宋_GB2312"/>
          <w:b w:val="0"/>
          <w:bCs w:val="0"/>
          <w:sz w:val="32"/>
          <w:szCs w:val="32"/>
        </w:rPr>
        <w:t xml:space="preserve">  有下列情形之一的，引导基金可选择退出:</w:t>
      </w:r>
    </w:p>
    <w:p>
      <w:pPr>
        <w:keepNext w:val="0"/>
        <w:keepLines w:val="0"/>
        <w:pageBreakBefore w:val="0"/>
        <w:widowControl w:val="0"/>
        <w:shd w:val="clear" w:color="auto" w:fill="FFFFFF"/>
        <w:kinsoku/>
        <w:wordWrap/>
        <w:overflowPunct/>
        <w:topLinePunct w:val="0"/>
        <w:bidi w:val="0"/>
        <w:adjustRightInd/>
        <w:snapToGrid/>
        <w:spacing w:line="600" w:lineRule="exact"/>
        <w:ind w:firstLine="640"/>
        <w:jc w:val="both"/>
        <w:textAlignment w:val="auto"/>
        <w:rPr>
          <w:rFonts w:ascii="仿宋_GB2312" w:eastAsia="仿宋_GB2312"/>
          <w:b w:val="0"/>
          <w:bCs w:val="0"/>
          <w:sz w:val="32"/>
          <w:szCs w:val="32"/>
        </w:rPr>
      </w:pPr>
      <w:r>
        <w:rPr>
          <w:rFonts w:hint="eastAsia" w:ascii="仿宋_GB2312" w:eastAsia="仿宋_GB2312"/>
          <w:b w:val="0"/>
          <w:bCs w:val="0"/>
          <w:sz w:val="32"/>
          <w:szCs w:val="32"/>
        </w:rPr>
        <w:t>(一)签订合作协议超过1年，母</w:t>
      </w:r>
      <w:r>
        <w:rPr>
          <w:rFonts w:hint="eastAsia" w:ascii="仿宋_GB2312" w:eastAsia="仿宋_GB2312"/>
          <w:b w:val="0"/>
          <w:bCs w:val="0"/>
          <w:spacing w:val="-6"/>
          <w:sz w:val="32"/>
          <w:szCs w:val="32"/>
        </w:rPr>
        <w:t>(子)</w:t>
      </w:r>
      <w:r>
        <w:rPr>
          <w:rFonts w:hint="eastAsia" w:ascii="仿宋_GB2312" w:eastAsia="仿宋_GB2312"/>
          <w:b w:val="0"/>
          <w:bCs w:val="0"/>
          <w:sz w:val="32"/>
          <w:szCs w:val="32"/>
        </w:rPr>
        <w:t>基金未按约定程序和时间要求完成设立登记的或首期资金未实际到位的；</w:t>
      </w:r>
    </w:p>
    <w:p>
      <w:pPr>
        <w:keepNext w:val="0"/>
        <w:keepLines w:val="0"/>
        <w:pageBreakBefore w:val="0"/>
        <w:widowControl w:val="0"/>
        <w:shd w:val="clear" w:color="auto" w:fill="FFFFFF"/>
        <w:kinsoku/>
        <w:wordWrap/>
        <w:overflowPunct/>
        <w:topLinePunct w:val="0"/>
        <w:bidi w:val="0"/>
        <w:adjustRightInd/>
        <w:snapToGrid/>
        <w:spacing w:line="600" w:lineRule="exact"/>
        <w:ind w:firstLine="0" w:firstLineChars="0"/>
        <w:jc w:val="both"/>
        <w:textAlignment w:val="auto"/>
        <w:rPr>
          <w:rFonts w:ascii="仿宋_GB2312" w:eastAsia="仿宋_GB2312"/>
          <w:b w:val="0"/>
          <w:bCs w:val="0"/>
          <w:sz w:val="32"/>
          <w:szCs w:val="32"/>
        </w:rPr>
      </w:pPr>
      <w:r>
        <w:rPr>
          <w:rFonts w:hint="eastAsia" w:ascii="仿宋_GB2312" w:eastAsia="仿宋_GB2312"/>
          <w:b w:val="0"/>
          <w:bCs w:val="0"/>
          <w:sz w:val="32"/>
          <w:szCs w:val="32"/>
        </w:rPr>
        <w:t>　  (二</w:t>
      </w:r>
      <w:r>
        <w:rPr>
          <w:rFonts w:hint="eastAsia" w:ascii="仿宋_GB2312" w:eastAsia="仿宋_GB2312"/>
          <w:b w:val="0"/>
          <w:bCs w:val="0"/>
          <w:sz w:val="32"/>
          <w:szCs w:val="32"/>
          <w:lang w:val="en-US"/>
        </w:rPr>
        <w:t>)</w:t>
      </w:r>
      <w:r>
        <w:rPr>
          <w:rFonts w:hint="eastAsia" w:ascii="仿宋_GB2312" w:eastAsia="仿宋_GB2312"/>
          <w:b w:val="0"/>
          <w:bCs w:val="0"/>
          <w:sz w:val="32"/>
          <w:szCs w:val="32"/>
        </w:rPr>
        <w:t>母（子）基金设立1年以后，未开展投资业务的；</w:t>
      </w:r>
    </w:p>
    <w:p>
      <w:pPr>
        <w:keepNext w:val="0"/>
        <w:keepLines w:val="0"/>
        <w:pageBreakBefore w:val="0"/>
        <w:widowControl w:val="0"/>
        <w:shd w:val="clear" w:color="auto" w:fill="FFFFFF"/>
        <w:kinsoku/>
        <w:wordWrap/>
        <w:overflowPunct/>
        <w:topLinePunct w:val="0"/>
        <w:bidi w:val="0"/>
        <w:adjustRightInd/>
        <w:snapToGrid/>
        <w:spacing w:line="600" w:lineRule="exact"/>
        <w:ind w:firstLine="0" w:firstLineChars="0"/>
        <w:jc w:val="both"/>
        <w:textAlignment w:val="auto"/>
        <w:rPr>
          <w:rFonts w:ascii="仿宋_GB2312" w:eastAsia="仿宋_GB2312"/>
          <w:b w:val="0"/>
          <w:bCs w:val="0"/>
          <w:sz w:val="32"/>
          <w:szCs w:val="32"/>
        </w:rPr>
      </w:pPr>
      <w:r>
        <w:rPr>
          <w:rFonts w:hint="eastAsia" w:ascii="仿宋_GB2312" w:eastAsia="仿宋_GB2312"/>
          <w:b w:val="0"/>
          <w:bCs w:val="0"/>
          <w:sz w:val="32"/>
          <w:szCs w:val="32"/>
        </w:rPr>
        <w:t>　　(三)投资领域或地域不符合规定的；</w:t>
      </w:r>
    </w:p>
    <w:p>
      <w:pPr>
        <w:keepNext w:val="0"/>
        <w:keepLines w:val="0"/>
        <w:pageBreakBefore w:val="0"/>
        <w:widowControl w:val="0"/>
        <w:shd w:val="clear" w:color="auto" w:fill="FFFFFF"/>
        <w:kinsoku/>
        <w:wordWrap/>
        <w:overflowPunct/>
        <w:topLinePunct w:val="0"/>
        <w:bidi w:val="0"/>
        <w:adjustRightInd/>
        <w:snapToGrid/>
        <w:spacing w:line="600" w:lineRule="exact"/>
        <w:ind w:firstLine="0" w:firstLineChars="0"/>
        <w:jc w:val="both"/>
        <w:textAlignment w:val="auto"/>
        <w:rPr>
          <w:rFonts w:ascii="仿宋_GB2312" w:eastAsia="仿宋_GB2312"/>
          <w:b w:val="0"/>
          <w:bCs w:val="0"/>
          <w:sz w:val="32"/>
          <w:szCs w:val="32"/>
        </w:rPr>
      </w:pPr>
      <w:r>
        <w:rPr>
          <w:rFonts w:hint="eastAsia" w:ascii="仿宋_GB2312" w:eastAsia="仿宋_GB2312"/>
          <w:b w:val="0"/>
          <w:bCs w:val="0"/>
          <w:sz w:val="32"/>
          <w:szCs w:val="32"/>
        </w:rPr>
        <w:t>　　(四)基金管理机构发生实质性变化的；</w:t>
      </w:r>
    </w:p>
    <w:p>
      <w:pPr>
        <w:keepNext w:val="0"/>
        <w:keepLines w:val="0"/>
        <w:pageBreakBefore w:val="0"/>
        <w:widowControl w:val="0"/>
        <w:shd w:val="clear" w:color="auto" w:fill="FFFFFF"/>
        <w:kinsoku/>
        <w:wordWrap/>
        <w:overflowPunct/>
        <w:topLinePunct w:val="0"/>
        <w:bidi w:val="0"/>
        <w:adjustRightInd/>
        <w:snapToGrid/>
        <w:spacing w:line="600" w:lineRule="exact"/>
        <w:ind w:firstLine="0" w:firstLineChars="0"/>
        <w:jc w:val="both"/>
        <w:textAlignment w:val="auto"/>
        <w:rPr>
          <w:rFonts w:ascii="仿宋_GB2312" w:eastAsia="仿宋_GB2312"/>
          <w:b w:val="0"/>
          <w:bCs w:val="0"/>
          <w:sz w:val="32"/>
          <w:szCs w:val="32"/>
        </w:rPr>
      </w:pPr>
      <w:r>
        <w:rPr>
          <w:rFonts w:hint="eastAsia" w:ascii="仿宋_GB2312" w:eastAsia="仿宋_GB2312"/>
          <w:b w:val="0"/>
          <w:bCs w:val="0"/>
          <w:sz w:val="32"/>
          <w:szCs w:val="32"/>
        </w:rPr>
        <w:t>　  (五)其他不符合章程或合伙协议约定的;</w:t>
      </w:r>
    </w:p>
    <w:p>
      <w:pPr>
        <w:keepNext w:val="0"/>
        <w:keepLines w:val="0"/>
        <w:pageBreakBefore w:val="0"/>
        <w:widowControl w:val="0"/>
        <w:shd w:val="clear" w:color="auto" w:fill="FFFFFF"/>
        <w:kinsoku/>
        <w:wordWrap/>
        <w:overflowPunct/>
        <w:topLinePunct w:val="0"/>
        <w:bidi w:val="0"/>
        <w:adjustRightInd/>
        <w:snapToGrid/>
        <w:spacing w:line="600" w:lineRule="exact"/>
        <w:ind w:firstLine="0" w:firstLineChars="0"/>
        <w:jc w:val="both"/>
        <w:textAlignment w:val="auto"/>
        <w:rPr>
          <w:rFonts w:ascii="仿宋_GB2312" w:eastAsia="仿宋_GB2312"/>
          <w:b w:val="0"/>
          <w:bCs w:val="0"/>
          <w:sz w:val="32"/>
          <w:szCs w:val="32"/>
        </w:rPr>
      </w:pPr>
      <w:r>
        <w:rPr>
          <w:rFonts w:hint="eastAsia" w:ascii="仿宋_GB2312" w:eastAsia="仿宋_GB2312"/>
          <w:b w:val="0"/>
          <w:bCs w:val="0"/>
          <w:sz w:val="32"/>
          <w:szCs w:val="32"/>
        </w:rPr>
        <w:t xml:space="preserve">    (六)基金或基金管理机构违反相关法律法规、政策规定或协议其他约定情形的。</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ascii="仿宋_GB2312" w:eastAsia="仿宋_GB2312"/>
          <w:b w:val="0"/>
          <w:bCs w:val="0"/>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eastAsia="仿宋_GB2312"/>
          <w:b w:val="0"/>
          <w:bCs w:val="0"/>
          <w:sz w:val="32"/>
          <w:szCs w:val="32"/>
        </w:rPr>
        <w:t xml:space="preserve">  基金在运营过程中出现下列情形之一时，应当终止运营并清算:</w:t>
      </w:r>
    </w:p>
    <w:p>
      <w:pPr>
        <w:keepNext w:val="0"/>
        <w:keepLines w:val="0"/>
        <w:pageBreakBefore w:val="0"/>
        <w:widowControl w:val="0"/>
        <w:shd w:val="clear" w:color="auto" w:fill="FFFFFF"/>
        <w:kinsoku/>
        <w:wordWrap/>
        <w:overflowPunct/>
        <w:topLinePunct w:val="0"/>
        <w:bidi w:val="0"/>
        <w:adjustRightInd/>
        <w:snapToGrid/>
        <w:spacing w:line="600" w:lineRule="exact"/>
        <w:ind w:firstLine="640"/>
        <w:jc w:val="both"/>
        <w:textAlignment w:val="auto"/>
        <w:rPr>
          <w:rFonts w:ascii="仿宋_GB2312" w:eastAsia="仿宋_GB2312"/>
          <w:b w:val="0"/>
          <w:bCs w:val="0"/>
          <w:sz w:val="32"/>
          <w:szCs w:val="32"/>
        </w:rPr>
      </w:pPr>
      <w:r>
        <w:rPr>
          <w:rFonts w:hint="eastAsia" w:ascii="仿宋_GB2312" w:eastAsia="仿宋_GB2312"/>
          <w:b w:val="0"/>
          <w:bCs w:val="0"/>
          <w:sz w:val="32"/>
          <w:szCs w:val="32"/>
          <w:lang w:eastAsia="zh-CN"/>
        </w:rPr>
        <w:t>（</w:t>
      </w:r>
      <w:r>
        <w:rPr>
          <w:rFonts w:hint="eastAsia" w:ascii="仿宋_GB2312" w:eastAsia="仿宋_GB2312"/>
          <w:b w:val="0"/>
          <w:bCs w:val="0"/>
          <w:sz w:val="32"/>
          <w:szCs w:val="32"/>
        </w:rPr>
        <w:t>一</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代表三分之二以上基金份额的合伙人(股东)要求终止，并经合伙人(股东)会议决议通过的;</w:t>
      </w:r>
    </w:p>
    <w:p>
      <w:pPr>
        <w:keepNext w:val="0"/>
        <w:keepLines w:val="0"/>
        <w:pageBreakBefore w:val="0"/>
        <w:widowControl w:val="0"/>
        <w:shd w:val="clear" w:color="auto" w:fill="FFFFFF"/>
        <w:kinsoku/>
        <w:wordWrap/>
        <w:overflowPunct/>
        <w:topLinePunct w:val="0"/>
        <w:bidi w:val="0"/>
        <w:adjustRightInd/>
        <w:snapToGrid/>
        <w:spacing w:line="600" w:lineRule="exact"/>
        <w:ind w:firstLine="640"/>
        <w:jc w:val="both"/>
        <w:textAlignment w:val="auto"/>
        <w:rPr>
          <w:rFonts w:ascii="仿宋_GB2312" w:eastAsia="仿宋_GB2312"/>
          <w:b w:val="0"/>
          <w:bCs w:val="0"/>
          <w:sz w:val="32"/>
          <w:szCs w:val="32"/>
        </w:rPr>
      </w:pPr>
      <w:r>
        <w:rPr>
          <w:rFonts w:hint="eastAsia" w:ascii="仿宋_GB2312" w:eastAsia="仿宋_GB2312"/>
          <w:b w:val="0"/>
          <w:bCs w:val="0"/>
          <w:sz w:val="32"/>
          <w:szCs w:val="32"/>
          <w:lang w:eastAsia="zh-CN"/>
        </w:rPr>
        <w:t>（</w:t>
      </w:r>
      <w:r>
        <w:rPr>
          <w:rFonts w:hint="eastAsia" w:ascii="仿宋_GB2312" w:eastAsia="仿宋_GB2312"/>
          <w:b w:val="0"/>
          <w:bCs w:val="0"/>
          <w:sz w:val="32"/>
          <w:szCs w:val="32"/>
        </w:rPr>
        <w:t>二</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发生重大亏损，无力继续经营的;</w:t>
      </w:r>
    </w:p>
    <w:p>
      <w:pPr>
        <w:keepNext w:val="0"/>
        <w:keepLines w:val="0"/>
        <w:pageBreakBefore w:val="0"/>
        <w:widowControl w:val="0"/>
        <w:shd w:val="clear" w:color="auto" w:fill="FFFFFF"/>
        <w:kinsoku/>
        <w:wordWrap/>
        <w:overflowPunct/>
        <w:topLinePunct w:val="0"/>
        <w:bidi w:val="0"/>
        <w:adjustRightInd/>
        <w:snapToGrid/>
        <w:spacing w:line="600" w:lineRule="exact"/>
        <w:ind w:firstLine="640"/>
        <w:jc w:val="both"/>
        <w:textAlignment w:val="auto"/>
        <w:rPr>
          <w:rFonts w:hint="eastAsia" w:ascii="仿宋_GB2312" w:eastAsia="仿宋_GB2312"/>
          <w:b w:val="0"/>
          <w:bCs w:val="0"/>
          <w:sz w:val="32"/>
          <w:szCs w:val="32"/>
        </w:rPr>
      </w:pPr>
      <w:r>
        <w:rPr>
          <w:rFonts w:hint="eastAsia" w:ascii="仿宋_GB2312" w:eastAsia="仿宋_GB2312"/>
          <w:b w:val="0"/>
          <w:bCs w:val="0"/>
          <w:sz w:val="32"/>
          <w:szCs w:val="32"/>
          <w:lang w:eastAsia="zh-CN"/>
        </w:rPr>
        <w:t>（</w:t>
      </w:r>
      <w:r>
        <w:rPr>
          <w:rFonts w:hint="eastAsia" w:ascii="仿宋_GB2312" w:eastAsia="仿宋_GB2312"/>
          <w:b w:val="0"/>
          <w:bCs w:val="0"/>
          <w:sz w:val="32"/>
          <w:szCs w:val="32"/>
        </w:rPr>
        <w:t>三</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出现重大违法违规行为，被管理机关责令终止的。</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hint="eastAsia" w:ascii="仿宋_GB2312" w:eastAsia="仿宋_GB2312"/>
          <w:b w:val="0"/>
          <w:bCs w:val="0"/>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eastAsia="仿宋_GB2312"/>
          <w:b w:val="0"/>
          <w:bCs w:val="0"/>
          <w:sz w:val="32"/>
          <w:szCs w:val="32"/>
        </w:rPr>
        <w:t xml:space="preserve">  向母基金出资时，引导基金出资原则上应不早于其他社会出资人。向子基金出资时，母基金出资原则上应不早于其他社会出资人。</w:t>
      </w:r>
    </w:p>
    <w:p>
      <w:pPr>
        <w:pStyle w:val="18"/>
        <w:keepNext w:val="0"/>
        <w:keepLines w:val="0"/>
        <w:pageBreakBefore w:val="0"/>
        <w:widowControl w:val="0"/>
        <w:numPr>
          <w:ilvl w:val="0"/>
          <w:numId w:val="0"/>
        </w:numPr>
        <w:kinsoku/>
        <w:wordWrap/>
        <w:overflowPunct/>
        <w:topLinePunct w:val="0"/>
        <w:bidi w:val="0"/>
        <w:adjustRightInd/>
        <w:snapToGrid/>
        <w:spacing w:line="600" w:lineRule="exact"/>
        <w:jc w:val="center"/>
        <w:textAlignment w:val="auto"/>
        <w:rPr>
          <w:rFonts w:ascii="黑体" w:hAnsi="Times New Roman" w:eastAsia="黑体" w:cs="Times New Roman"/>
          <w:b w:val="0"/>
          <w:bCs w:val="0"/>
          <w:sz w:val="32"/>
          <w:szCs w:val="32"/>
        </w:rPr>
      </w:pPr>
      <w:r>
        <w:rPr>
          <w:rFonts w:hint="eastAsia" w:ascii="黑体" w:hAnsi="Times New Roman" w:eastAsia="黑体" w:cs="Times New Roman"/>
          <w:b w:val="0"/>
          <w:bCs w:val="0"/>
          <w:sz w:val="32"/>
          <w:szCs w:val="32"/>
          <w:lang w:eastAsia="zh-CN"/>
        </w:rPr>
        <w:t>第七章</w:t>
      </w:r>
      <w:r>
        <w:rPr>
          <w:rFonts w:hint="eastAsia" w:ascii="黑体" w:hAnsi="Times New Roman" w:eastAsia="黑体" w:cs="Times New Roman"/>
          <w:b w:val="0"/>
          <w:bCs w:val="0"/>
          <w:sz w:val="32"/>
          <w:szCs w:val="32"/>
          <w:lang w:val="en-US" w:eastAsia="zh-CN"/>
        </w:rPr>
        <w:t xml:space="preserve">  </w:t>
      </w:r>
      <w:r>
        <w:rPr>
          <w:rFonts w:hint="eastAsia" w:ascii="黑体" w:hAnsi="Times New Roman" w:eastAsia="黑体" w:cs="Times New Roman"/>
          <w:b w:val="0"/>
          <w:bCs w:val="0"/>
          <w:sz w:val="32"/>
          <w:szCs w:val="32"/>
        </w:rPr>
        <w:t>附</w:t>
      </w:r>
      <w:r>
        <w:rPr>
          <w:rFonts w:hint="eastAsia" w:ascii="黑体" w:hAnsi="Times New Roman" w:eastAsia="黑体" w:cs="Times New Roman"/>
          <w:b w:val="0"/>
          <w:bCs w:val="0"/>
          <w:sz w:val="32"/>
          <w:szCs w:val="32"/>
          <w:lang w:val="en-US" w:eastAsia="zh-CN"/>
        </w:rPr>
        <w:t xml:space="preserve">  </w:t>
      </w:r>
      <w:r>
        <w:rPr>
          <w:rFonts w:hint="eastAsia" w:ascii="黑体" w:hAnsi="Times New Roman" w:eastAsia="黑体" w:cs="Times New Roman"/>
          <w:b w:val="0"/>
          <w:bCs w:val="0"/>
          <w:sz w:val="32"/>
          <w:szCs w:val="32"/>
        </w:rPr>
        <w:t>则</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ascii="仿宋_GB2312" w:eastAsia="仿宋_GB2312"/>
          <w:b w:val="0"/>
          <w:bCs w:val="0"/>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eastAsia="仿宋_GB2312"/>
          <w:b w:val="0"/>
          <w:bCs w:val="0"/>
          <w:sz w:val="32"/>
          <w:szCs w:val="32"/>
        </w:rPr>
        <w:t xml:space="preserve"> </w:t>
      </w:r>
      <w:r>
        <w:rPr>
          <w:rFonts w:hint="eastAsia" w:ascii="仿宋_GB2312" w:eastAsia="仿宋_GB2312"/>
          <w:b w:val="0"/>
          <w:bCs w:val="0"/>
          <w:sz w:val="32"/>
          <w:szCs w:val="32"/>
          <w:lang w:val="en-US"/>
        </w:rPr>
        <w:t xml:space="preserve"> </w:t>
      </w:r>
      <w:r>
        <w:rPr>
          <w:rFonts w:hint="eastAsia" w:ascii="仿宋_GB2312" w:eastAsia="仿宋_GB2312"/>
          <w:b w:val="0"/>
          <w:bCs w:val="0"/>
          <w:sz w:val="32"/>
          <w:szCs w:val="32"/>
        </w:rPr>
        <w:t>引导基金与上级财政资金共同参股发起设立基金的，按照上级有关规定执行。</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ascii="仿宋_GB2312" w:eastAsia="仿宋_GB2312"/>
          <w:b w:val="0"/>
          <w:bCs w:val="0"/>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 xml:space="preserve">条 </w:t>
      </w:r>
      <w:r>
        <w:rPr>
          <w:rFonts w:hint="eastAsia" w:ascii="仿宋_GB2312" w:eastAsia="仿宋_GB2312"/>
          <w:b w:val="0"/>
          <w:bCs w:val="0"/>
          <w:sz w:val="32"/>
          <w:szCs w:val="32"/>
        </w:rPr>
        <w:t xml:space="preserve"> 本办法所称“不低于”不含本数，“不高于”含本数。</w:t>
      </w:r>
    </w:p>
    <w:p>
      <w:pPr>
        <w:keepNext w:val="0"/>
        <w:keepLines w:val="0"/>
        <w:pageBreakBefore w:val="0"/>
        <w:widowControl w:val="0"/>
        <w:shd w:val="clear" w:color="auto" w:fill="FFFFFF"/>
        <w:kinsoku/>
        <w:wordWrap/>
        <w:overflowPunct/>
        <w:topLinePunct w:val="0"/>
        <w:bidi w:val="0"/>
        <w:adjustRightInd/>
        <w:snapToGrid/>
        <w:spacing w:line="600" w:lineRule="exact"/>
        <w:ind w:firstLine="643"/>
        <w:jc w:val="both"/>
        <w:textAlignment w:val="auto"/>
        <w:rPr>
          <w:rFonts w:ascii="仿宋_GB2312" w:eastAsia="仿宋_GB2312"/>
          <w:b w:val="0"/>
          <w:bCs w:val="0"/>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eastAsia="仿宋_GB2312"/>
          <w:b w:val="0"/>
          <w:bCs w:val="0"/>
          <w:sz w:val="32"/>
          <w:szCs w:val="32"/>
        </w:rPr>
        <w:t xml:space="preserve">  本办法自2022年</w:t>
      </w:r>
      <w:r>
        <w:rPr>
          <w:rFonts w:hint="eastAsia" w:ascii="仿宋_GB2312" w:eastAsia="仿宋_GB2312"/>
          <w:b w:val="0"/>
          <w:bCs w:val="0"/>
          <w:sz w:val="32"/>
          <w:szCs w:val="32"/>
          <w:lang w:val="en-US" w:eastAsia="zh-CN"/>
        </w:rPr>
        <w:t>7</w:t>
      </w:r>
      <w:r>
        <w:rPr>
          <w:rFonts w:hint="eastAsia" w:ascii="仿宋_GB2312" w:eastAsia="仿宋_GB2312"/>
          <w:b w:val="0"/>
          <w:bCs w:val="0"/>
          <w:sz w:val="32"/>
          <w:szCs w:val="32"/>
        </w:rPr>
        <w:t>月</w:t>
      </w:r>
      <w:r>
        <w:rPr>
          <w:rFonts w:hint="eastAsia" w:ascii="仿宋_GB2312" w:eastAsia="仿宋_GB2312"/>
          <w:b w:val="0"/>
          <w:bCs w:val="0"/>
          <w:sz w:val="32"/>
          <w:szCs w:val="32"/>
          <w:lang w:val="en-US" w:eastAsia="zh-CN"/>
        </w:rPr>
        <w:t>27</w:t>
      </w:r>
      <w:r>
        <w:rPr>
          <w:rFonts w:hint="eastAsia" w:ascii="仿宋_GB2312" w:eastAsia="仿宋_GB2312"/>
          <w:b w:val="0"/>
          <w:bCs w:val="0"/>
          <w:sz w:val="32"/>
          <w:szCs w:val="32"/>
        </w:rPr>
        <w:t>日起执行，有效期至2027年</w:t>
      </w:r>
      <w:r>
        <w:rPr>
          <w:rFonts w:hint="eastAsia" w:ascii="仿宋_GB2312" w:eastAsia="仿宋_GB2312"/>
          <w:b w:val="0"/>
          <w:bCs w:val="0"/>
          <w:sz w:val="32"/>
          <w:szCs w:val="32"/>
          <w:lang w:val="en-US" w:eastAsia="zh-CN"/>
        </w:rPr>
        <w:t>7</w:t>
      </w:r>
      <w:r>
        <w:rPr>
          <w:rFonts w:hint="eastAsia" w:ascii="仿宋_GB2312" w:eastAsia="仿宋_GB2312"/>
          <w:b w:val="0"/>
          <w:bCs w:val="0"/>
          <w:sz w:val="32"/>
          <w:szCs w:val="32"/>
        </w:rPr>
        <w:t>月</w:t>
      </w:r>
      <w:r>
        <w:rPr>
          <w:rFonts w:hint="eastAsia" w:ascii="仿宋_GB2312" w:eastAsia="仿宋_GB2312"/>
          <w:b w:val="0"/>
          <w:bCs w:val="0"/>
          <w:sz w:val="32"/>
          <w:szCs w:val="32"/>
          <w:lang w:val="en-US" w:eastAsia="zh-CN"/>
        </w:rPr>
        <w:t>26</w:t>
      </w:r>
      <w:r>
        <w:rPr>
          <w:rFonts w:hint="eastAsia" w:ascii="仿宋_GB2312" w:eastAsia="仿宋_GB2312"/>
          <w:b w:val="0"/>
          <w:bCs w:val="0"/>
          <w:sz w:val="32"/>
          <w:szCs w:val="32"/>
        </w:rPr>
        <w:t>日。</w:t>
      </w:r>
    </w:p>
    <w:p>
      <w:pPr>
        <w:ind w:right="160" w:firstLine="0" w:firstLineChars="0"/>
        <w:jc w:val="both"/>
        <w:rPr>
          <w:rFonts w:ascii="仿宋_GB2312" w:hAnsi="Times New Roman" w:eastAsia="仿宋_GB2312" w:cs="Times New Roman"/>
          <w:b w:val="0"/>
          <w:bCs w:val="0"/>
          <w:sz w:val="32"/>
          <w:szCs w:val="32"/>
        </w:rPr>
      </w:pPr>
    </w:p>
    <w:p>
      <w:pPr>
        <w:pStyle w:val="2"/>
        <w:rPr>
          <w:rFonts w:ascii="仿宋_GB2312" w:hAnsi="Times New Roman" w:eastAsia="仿宋_GB2312" w:cs="Times New Roman"/>
          <w:b w:val="0"/>
          <w:bCs w:val="0"/>
          <w:sz w:val="32"/>
          <w:szCs w:val="32"/>
        </w:rPr>
      </w:pPr>
    </w:p>
    <w:p>
      <w:pPr>
        <w:rPr>
          <w:rFonts w:ascii="仿宋_GB2312" w:hAnsi="Times New Roman" w:eastAsia="仿宋_GB2312" w:cs="Times New Roman"/>
          <w:b w:val="0"/>
          <w:bCs w:val="0"/>
          <w:sz w:val="32"/>
          <w:szCs w:val="32"/>
        </w:rPr>
      </w:pPr>
    </w:p>
    <w:p>
      <w:pPr>
        <w:pStyle w:val="2"/>
        <w:rPr>
          <w:rFonts w:ascii="仿宋_GB2312" w:hAnsi="Times New Roman" w:eastAsia="仿宋_GB2312" w:cs="Times New Roman"/>
          <w:b w:val="0"/>
          <w:bCs w:val="0"/>
          <w:sz w:val="32"/>
          <w:szCs w:val="32"/>
        </w:rPr>
      </w:pPr>
    </w:p>
    <w:p>
      <w:pPr>
        <w:tabs>
          <w:tab w:val="left" w:pos="1575"/>
        </w:tabs>
        <w:spacing w:line="240" w:lineRule="exact"/>
        <w:ind w:right="640" w:firstLine="645"/>
        <w:jc w:val="center"/>
        <w:rPr>
          <w:rFonts w:hint="eastAsia" w:ascii="仿宋" w:hAnsi="仿宋" w:eastAsia="仿宋"/>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仿宋_GB2312" w:hAnsi="Times New Roman" w:eastAsia="仿宋_GB2312" w:cs="Times New Roman"/>
          <w:b w:val="0"/>
          <w:bCs w:val="0"/>
          <w:sz w:val="32"/>
          <w:szCs w:val="32"/>
        </w:rPr>
      </w:pPr>
    </w:p>
    <w:p>
      <w:pPr>
        <w:pStyle w:val="2"/>
        <w:rPr>
          <w:rFonts w:ascii="仿宋_GB2312" w:hAnsi="Times New Roman" w:eastAsia="仿宋_GB2312" w:cs="Times New Roman"/>
          <w:b w:val="0"/>
          <w:bCs w:val="0"/>
          <w:sz w:val="32"/>
          <w:szCs w:val="32"/>
        </w:rPr>
      </w:pPr>
    </w:p>
    <w:p>
      <w:pPr>
        <w:rPr>
          <w:rFonts w:ascii="仿宋_GB2312" w:hAnsi="Times New Roman" w:eastAsia="仿宋_GB2312" w:cs="Times New Roman"/>
          <w:b w:val="0"/>
          <w:bCs w:val="0"/>
          <w:sz w:val="32"/>
          <w:szCs w:val="32"/>
        </w:rPr>
      </w:pPr>
    </w:p>
    <w:p>
      <w:pPr>
        <w:pStyle w:val="2"/>
        <w:rPr>
          <w:rFonts w:ascii="仿宋_GB2312" w:hAnsi="Times New Roman" w:eastAsia="仿宋_GB2312" w:cs="Times New Roman"/>
          <w:b w:val="0"/>
          <w:bCs w:val="0"/>
          <w:sz w:val="32"/>
          <w:szCs w:val="32"/>
        </w:rPr>
      </w:pPr>
    </w:p>
    <w:p>
      <w:pPr>
        <w:keepNext w:val="0"/>
        <w:keepLines w:val="0"/>
        <w:pageBreakBefore w:val="0"/>
        <w:widowControl w:val="0"/>
        <w:kinsoku/>
        <w:wordWrap/>
        <w:overflowPunct/>
        <w:topLinePunct w:val="0"/>
        <w:autoSpaceDE w:val="0"/>
        <w:autoSpaceDN w:val="0"/>
        <w:bidi w:val="0"/>
        <w:adjustRightInd/>
        <w:snapToGrid/>
        <w:spacing w:line="400" w:lineRule="exact"/>
        <w:textAlignment w:val="auto"/>
      </w:pPr>
    </w:p>
    <w:p>
      <w:pPr>
        <w:pStyle w:val="2"/>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pPr>
    </w:p>
    <w:p/>
    <w:p>
      <w:pPr>
        <w:spacing w:line="560" w:lineRule="exact"/>
        <w:ind w:left="1" w:firstLine="280" w:firstLineChars="1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MgRpPn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抄送：区委各部门，区人大常委会办公室，区政协办公室，区监委，</w:t>
      </w:r>
    </w:p>
    <w:p>
      <w:pPr>
        <w:spacing w:line="560" w:lineRule="exact"/>
        <w:ind w:left="1" w:firstLine="1120" w:firstLineChars="4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区法院，</w:t>
      </w:r>
      <w:r>
        <w:rPr>
          <w:rFonts w:hint="eastAsia" w:ascii="仿宋_GB2312" w:eastAsia="仿宋_GB2312"/>
          <w:color w:val="000000"/>
          <w:spacing w:val="-4"/>
          <w:sz w:val="28"/>
          <w:szCs w:val="28"/>
        </w:rPr>
        <w:t>区</w:t>
      </w:r>
      <w:r>
        <w:rPr>
          <w:rFonts w:hint="eastAsia" w:ascii="仿宋_GB2312" w:eastAsia="仿宋_GB2312"/>
          <w:color w:val="000000"/>
          <w:sz w:val="28"/>
          <w:szCs w:val="28"/>
        </w:rPr>
        <w:t>检察院，</w:t>
      </w:r>
      <w:r>
        <w:rPr>
          <w:rFonts w:hint="eastAsia" w:ascii="仿宋_GB2312" w:hAnsi="仿宋_GB2312" w:eastAsia="仿宋_GB2312" w:cs="仿宋_GB2312"/>
          <w:color w:val="auto"/>
          <w:sz w:val="28"/>
          <w:szCs w:val="28"/>
        </w:rPr>
        <w:t>区人武部。</w:t>
      </w:r>
    </w:p>
    <w:p>
      <w:pPr>
        <w:spacing w:line="560" w:lineRule="exact"/>
        <w:ind w:left="1" w:firstLine="280" w:firstLineChars="100"/>
        <w:rPr>
          <w:rFonts w:hint="eastAsia" w:ascii="仿宋_GB2312" w:hAnsi="仿宋_GB2312" w:eastAsia="仿宋_GB2312" w:cs="仿宋_GB2312"/>
          <w:color w:val="auto"/>
          <w:sz w:val="28"/>
          <w:szCs w:val="28"/>
        </w:rPr>
      </w:pPr>
      <w:bookmarkStart w:id="0" w:name="OLE_LINK1"/>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673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1312;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pboP0wAAAAQBAAAPAAAAAAAAAAEAIAAAACIAAABkcnMvZG93bnJldi54bWxQSwEC&#10;FAAUAAAACACHTuJAZyU3W/kBAADy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泰安市泰山区人民政府办公室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27</w:t>
      </w:r>
      <w:r>
        <w:rPr>
          <w:rFonts w:hint="eastAsia" w:ascii="仿宋_GB2312" w:hAnsi="仿宋_GB2312" w:eastAsia="仿宋_GB2312" w:cs="仿宋_GB2312"/>
          <w:color w:val="auto"/>
          <w:sz w:val="28"/>
          <w:szCs w:val="28"/>
        </w:rPr>
        <w:t xml:space="preserve">日印发 </w:t>
      </w:r>
      <w:bookmarkEnd w:id="0"/>
      <w:r>
        <w:rPr>
          <w:rFonts w:hint="eastAsia" w:ascii="仿宋_GB2312" w:hAnsi="仿宋_GB2312" w:eastAsia="仿宋_GB2312" w:cs="仿宋_GB2312"/>
          <w:color w:val="auto"/>
          <w:sz w:val="28"/>
          <w:szCs w:val="28"/>
        </w:rPr>
        <w:t xml:space="preserve"> </w:t>
      </w:r>
    </w:p>
    <w:p>
      <w:pPr>
        <w:spacing w:line="560" w:lineRule="exact"/>
        <w:ind w:left="1" w:firstLine="280" w:firstLineChars="1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38100</wp:posOffset>
                </wp:positionV>
                <wp:extent cx="566737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3pt;height:0pt;width:446.25pt;z-index:251662336;mso-width-relative:page;mso-height-relative:page;" filled="f" stroked="t" coordsize="21600,21600" o:gfxdata="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yPKe1AAAAAYBAAAPAAAAAAAAAAEAIAAAACIAAABkcnMvZG93bnJldi54bWxQ&#10;SwECFAAUAAAACACHTuJA+N4Hz/sBAAD0AwAADgAAAAAAAAABACAAAAAjAQAAZHJzL2Uyb0RvYy54&#10;bWxQSwUGAAAAAAYABgBZAQAAkA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line="40" w:lineRule="exact"/>
        <w:ind w:firstLine="640"/>
        <w:textAlignment w:val="auto"/>
        <w:rPr>
          <w:color w:val="auto"/>
        </w:rPr>
      </w:pPr>
    </w:p>
    <w:sectPr>
      <w:headerReference r:id="rId7" w:type="first"/>
      <w:footerReference r:id="rId10" w:type="first"/>
      <w:headerReference r:id="rId5" w:type="default"/>
      <w:footerReference r:id="rId8" w:type="default"/>
      <w:headerReference r:id="rId6" w:type="even"/>
      <w:footerReference r:id="rId9" w:type="even"/>
      <w:pgSz w:w="11906" w:h="16838"/>
      <w:pgMar w:top="1984" w:right="1531" w:bottom="1531" w:left="1531" w:header="851" w:footer="1247" w:gutter="0"/>
      <w:pgNumType w:fmt="decimal"/>
      <w:cols w:space="0" w:num="1"/>
      <w:rtlGutter w:val="0"/>
      <w:docGrid w:type="lines" w:linePitch="33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经典粗宋简">
    <w:panose1 w:val="02010609000101010101"/>
    <w:charset w:val="86"/>
    <w:family w:val="auto"/>
    <w:pitch w:val="default"/>
    <w:sig w:usb0="A1007AEF" w:usb1="F9DF7CFB" w:usb2="0000001E" w:usb3="00000000" w:csb0="2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80"/>
      <w:jc w:val="center"/>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HNY36HmAQAAxwMA&#10;AA4AAAAAAAAAAQAgAAAAHgEAAGRycy9lMm9Eb2MueG1sUEsFBgAAAAAGAAYAWQEAAHYFAAAAAA==&#10;">
              <v:fill on="f" focussize="0,0"/>
              <v:stroke on="f"/>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WFiMzZmZDZmY2I4ZjY2NDNiYTQwMGU2NDZlODIifQ=="/>
  </w:docVars>
  <w:rsids>
    <w:rsidRoot w:val="006C4EB1"/>
    <w:rsid w:val="00006F8B"/>
    <w:rsid w:val="0001232C"/>
    <w:rsid w:val="00015AB9"/>
    <w:rsid w:val="00017B3B"/>
    <w:rsid w:val="00020548"/>
    <w:rsid w:val="000246E0"/>
    <w:rsid w:val="000312FF"/>
    <w:rsid w:val="00037F81"/>
    <w:rsid w:val="00040921"/>
    <w:rsid w:val="00045CD9"/>
    <w:rsid w:val="00045EAA"/>
    <w:rsid w:val="00047D1A"/>
    <w:rsid w:val="00055ADF"/>
    <w:rsid w:val="00066D46"/>
    <w:rsid w:val="00070792"/>
    <w:rsid w:val="0007174B"/>
    <w:rsid w:val="0007232B"/>
    <w:rsid w:val="00073111"/>
    <w:rsid w:val="000778BA"/>
    <w:rsid w:val="000846FD"/>
    <w:rsid w:val="00086BCD"/>
    <w:rsid w:val="00091BA2"/>
    <w:rsid w:val="000A15E7"/>
    <w:rsid w:val="000A3E62"/>
    <w:rsid w:val="000A71D9"/>
    <w:rsid w:val="000B2C24"/>
    <w:rsid w:val="000B47E7"/>
    <w:rsid w:val="000C32AB"/>
    <w:rsid w:val="000D0E02"/>
    <w:rsid w:val="000D0E4B"/>
    <w:rsid w:val="000D3B1A"/>
    <w:rsid w:val="000D6C8D"/>
    <w:rsid w:val="000E27D6"/>
    <w:rsid w:val="000E4E32"/>
    <w:rsid w:val="000F57B2"/>
    <w:rsid w:val="001016A0"/>
    <w:rsid w:val="00102569"/>
    <w:rsid w:val="0010353E"/>
    <w:rsid w:val="00105B30"/>
    <w:rsid w:val="001068F5"/>
    <w:rsid w:val="00107604"/>
    <w:rsid w:val="0011188A"/>
    <w:rsid w:val="001201A2"/>
    <w:rsid w:val="00123678"/>
    <w:rsid w:val="001250EA"/>
    <w:rsid w:val="00133754"/>
    <w:rsid w:val="0013677A"/>
    <w:rsid w:val="0014074C"/>
    <w:rsid w:val="00143233"/>
    <w:rsid w:val="0014324D"/>
    <w:rsid w:val="00143701"/>
    <w:rsid w:val="00151342"/>
    <w:rsid w:val="0015257F"/>
    <w:rsid w:val="001573E5"/>
    <w:rsid w:val="00157EA3"/>
    <w:rsid w:val="00164B79"/>
    <w:rsid w:val="00173B00"/>
    <w:rsid w:val="001740CE"/>
    <w:rsid w:val="00175579"/>
    <w:rsid w:val="001761A7"/>
    <w:rsid w:val="001768A5"/>
    <w:rsid w:val="00181C97"/>
    <w:rsid w:val="00183269"/>
    <w:rsid w:val="00186172"/>
    <w:rsid w:val="0018698D"/>
    <w:rsid w:val="00186CC1"/>
    <w:rsid w:val="00187D1E"/>
    <w:rsid w:val="0019076E"/>
    <w:rsid w:val="0019605E"/>
    <w:rsid w:val="001A12C2"/>
    <w:rsid w:val="001A26FC"/>
    <w:rsid w:val="001B1BBF"/>
    <w:rsid w:val="001B2F10"/>
    <w:rsid w:val="001B4BEE"/>
    <w:rsid w:val="001B645A"/>
    <w:rsid w:val="001B7A6F"/>
    <w:rsid w:val="001C43D5"/>
    <w:rsid w:val="001D33AA"/>
    <w:rsid w:val="001E10F8"/>
    <w:rsid w:val="001E3C5B"/>
    <w:rsid w:val="001E4C1A"/>
    <w:rsid w:val="001F2D9D"/>
    <w:rsid w:val="00202FB6"/>
    <w:rsid w:val="002034F4"/>
    <w:rsid w:val="002101D6"/>
    <w:rsid w:val="00212A45"/>
    <w:rsid w:val="0021469F"/>
    <w:rsid w:val="002329F2"/>
    <w:rsid w:val="002409C8"/>
    <w:rsid w:val="00242C0E"/>
    <w:rsid w:val="00245E0A"/>
    <w:rsid w:val="002468C4"/>
    <w:rsid w:val="00252EDD"/>
    <w:rsid w:val="00255F2B"/>
    <w:rsid w:val="00270797"/>
    <w:rsid w:val="00277339"/>
    <w:rsid w:val="00277D37"/>
    <w:rsid w:val="00280DBA"/>
    <w:rsid w:val="002828E4"/>
    <w:rsid w:val="00282AD3"/>
    <w:rsid w:val="00285B18"/>
    <w:rsid w:val="002864E8"/>
    <w:rsid w:val="00287EE2"/>
    <w:rsid w:val="002933E8"/>
    <w:rsid w:val="00295855"/>
    <w:rsid w:val="00296EA0"/>
    <w:rsid w:val="002A135B"/>
    <w:rsid w:val="002A3D01"/>
    <w:rsid w:val="002B0D89"/>
    <w:rsid w:val="002B15E1"/>
    <w:rsid w:val="002B5605"/>
    <w:rsid w:val="002C61E0"/>
    <w:rsid w:val="002C7AB9"/>
    <w:rsid w:val="002D5284"/>
    <w:rsid w:val="002E0533"/>
    <w:rsid w:val="002E44E0"/>
    <w:rsid w:val="002F5F4C"/>
    <w:rsid w:val="002F7361"/>
    <w:rsid w:val="0030302A"/>
    <w:rsid w:val="00305C57"/>
    <w:rsid w:val="00310657"/>
    <w:rsid w:val="00313183"/>
    <w:rsid w:val="0031743C"/>
    <w:rsid w:val="00320B0B"/>
    <w:rsid w:val="003248E9"/>
    <w:rsid w:val="003312D5"/>
    <w:rsid w:val="003336BA"/>
    <w:rsid w:val="003409E1"/>
    <w:rsid w:val="00341219"/>
    <w:rsid w:val="00345E8F"/>
    <w:rsid w:val="00346268"/>
    <w:rsid w:val="00350B51"/>
    <w:rsid w:val="003515FD"/>
    <w:rsid w:val="0035379E"/>
    <w:rsid w:val="0036079B"/>
    <w:rsid w:val="0036762C"/>
    <w:rsid w:val="00373D53"/>
    <w:rsid w:val="0038083A"/>
    <w:rsid w:val="00380935"/>
    <w:rsid w:val="00384113"/>
    <w:rsid w:val="003851E4"/>
    <w:rsid w:val="0039723A"/>
    <w:rsid w:val="003A1EA4"/>
    <w:rsid w:val="003A448C"/>
    <w:rsid w:val="003A59DB"/>
    <w:rsid w:val="003A791F"/>
    <w:rsid w:val="003B5E95"/>
    <w:rsid w:val="003B683F"/>
    <w:rsid w:val="003C167A"/>
    <w:rsid w:val="003C3045"/>
    <w:rsid w:val="003C4482"/>
    <w:rsid w:val="003C5A6D"/>
    <w:rsid w:val="003D1112"/>
    <w:rsid w:val="003D41FA"/>
    <w:rsid w:val="003D5C1A"/>
    <w:rsid w:val="003E25D3"/>
    <w:rsid w:val="003E32C5"/>
    <w:rsid w:val="003E455F"/>
    <w:rsid w:val="003E7BF6"/>
    <w:rsid w:val="003F17D8"/>
    <w:rsid w:val="003F265C"/>
    <w:rsid w:val="0040151B"/>
    <w:rsid w:val="00406963"/>
    <w:rsid w:val="00416F2B"/>
    <w:rsid w:val="00431EF7"/>
    <w:rsid w:val="00444E7E"/>
    <w:rsid w:val="004470FB"/>
    <w:rsid w:val="004479C4"/>
    <w:rsid w:val="00460E92"/>
    <w:rsid w:val="00471756"/>
    <w:rsid w:val="00474378"/>
    <w:rsid w:val="004759D7"/>
    <w:rsid w:val="004767E3"/>
    <w:rsid w:val="00476FAD"/>
    <w:rsid w:val="00477D61"/>
    <w:rsid w:val="00481834"/>
    <w:rsid w:val="00486E79"/>
    <w:rsid w:val="00487B12"/>
    <w:rsid w:val="00493664"/>
    <w:rsid w:val="00494727"/>
    <w:rsid w:val="00497D42"/>
    <w:rsid w:val="004A3355"/>
    <w:rsid w:val="004A4297"/>
    <w:rsid w:val="004A740D"/>
    <w:rsid w:val="004B196A"/>
    <w:rsid w:val="004B3F26"/>
    <w:rsid w:val="004B4811"/>
    <w:rsid w:val="004C242B"/>
    <w:rsid w:val="004C7E8B"/>
    <w:rsid w:val="004D008A"/>
    <w:rsid w:val="004E1994"/>
    <w:rsid w:val="004F2F73"/>
    <w:rsid w:val="004F39CC"/>
    <w:rsid w:val="004F55CD"/>
    <w:rsid w:val="00500D24"/>
    <w:rsid w:val="00512060"/>
    <w:rsid w:val="00525394"/>
    <w:rsid w:val="00526A06"/>
    <w:rsid w:val="00530534"/>
    <w:rsid w:val="005319A0"/>
    <w:rsid w:val="00531CA8"/>
    <w:rsid w:val="00531E02"/>
    <w:rsid w:val="0053759C"/>
    <w:rsid w:val="00542C11"/>
    <w:rsid w:val="0054586E"/>
    <w:rsid w:val="005505E4"/>
    <w:rsid w:val="005566FC"/>
    <w:rsid w:val="00564195"/>
    <w:rsid w:val="0056787E"/>
    <w:rsid w:val="00567B0C"/>
    <w:rsid w:val="00570A42"/>
    <w:rsid w:val="00591208"/>
    <w:rsid w:val="00591E69"/>
    <w:rsid w:val="00592E49"/>
    <w:rsid w:val="005A06D3"/>
    <w:rsid w:val="005A7AD9"/>
    <w:rsid w:val="005D158E"/>
    <w:rsid w:val="005E036F"/>
    <w:rsid w:val="005E061D"/>
    <w:rsid w:val="005E353E"/>
    <w:rsid w:val="005F1D9D"/>
    <w:rsid w:val="005F285B"/>
    <w:rsid w:val="005F2AC5"/>
    <w:rsid w:val="005F465F"/>
    <w:rsid w:val="00613165"/>
    <w:rsid w:val="00620E4C"/>
    <w:rsid w:val="006278F5"/>
    <w:rsid w:val="00632E2E"/>
    <w:rsid w:val="006351E9"/>
    <w:rsid w:val="0063565C"/>
    <w:rsid w:val="00641E05"/>
    <w:rsid w:val="006476CE"/>
    <w:rsid w:val="00653A47"/>
    <w:rsid w:val="00674941"/>
    <w:rsid w:val="00676E14"/>
    <w:rsid w:val="00680808"/>
    <w:rsid w:val="00683BED"/>
    <w:rsid w:val="006908AC"/>
    <w:rsid w:val="00693ED4"/>
    <w:rsid w:val="006A2B5C"/>
    <w:rsid w:val="006A2C93"/>
    <w:rsid w:val="006A69B1"/>
    <w:rsid w:val="006C178C"/>
    <w:rsid w:val="006C1AE0"/>
    <w:rsid w:val="006C4EB1"/>
    <w:rsid w:val="006D53C7"/>
    <w:rsid w:val="006E0BD3"/>
    <w:rsid w:val="006E5ECD"/>
    <w:rsid w:val="006E69F3"/>
    <w:rsid w:val="006F0229"/>
    <w:rsid w:val="006F0240"/>
    <w:rsid w:val="006F516A"/>
    <w:rsid w:val="006F652B"/>
    <w:rsid w:val="006F76DF"/>
    <w:rsid w:val="00701BD5"/>
    <w:rsid w:val="00703C1E"/>
    <w:rsid w:val="00703DAF"/>
    <w:rsid w:val="007051D1"/>
    <w:rsid w:val="00705AAF"/>
    <w:rsid w:val="00717E6F"/>
    <w:rsid w:val="00720010"/>
    <w:rsid w:val="0072053F"/>
    <w:rsid w:val="00721DD8"/>
    <w:rsid w:val="007264AA"/>
    <w:rsid w:val="00731364"/>
    <w:rsid w:val="00732310"/>
    <w:rsid w:val="00733502"/>
    <w:rsid w:val="00733649"/>
    <w:rsid w:val="00741AC5"/>
    <w:rsid w:val="007459D4"/>
    <w:rsid w:val="00746379"/>
    <w:rsid w:val="007527DF"/>
    <w:rsid w:val="00753FF2"/>
    <w:rsid w:val="007620C9"/>
    <w:rsid w:val="00763D94"/>
    <w:rsid w:val="007707D7"/>
    <w:rsid w:val="007769AA"/>
    <w:rsid w:val="00781083"/>
    <w:rsid w:val="007836BA"/>
    <w:rsid w:val="00786C26"/>
    <w:rsid w:val="007920BE"/>
    <w:rsid w:val="007933B7"/>
    <w:rsid w:val="007A2B4A"/>
    <w:rsid w:val="007C0A8E"/>
    <w:rsid w:val="007C1D37"/>
    <w:rsid w:val="007C7A25"/>
    <w:rsid w:val="007C7C39"/>
    <w:rsid w:val="007D6536"/>
    <w:rsid w:val="007E33A3"/>
    <w:rsid w:val="007E43EE"/>
    <w:rsid w:val="007E549D"/>
    <w:rsid w:val="007E73D0"/>
    <w:rsid w:val="007E790E"/>
    <w:rsid w:val="007F111E"/>
    <w:rsid w:val="007F65AD"/>
    <w:rsid w:val="00800F61"/>
    <w:rsid w:val="008043D7"/>
    <w:rsid w:val="00807EC2"/>
    <w:rsid w:val="008106D9"/>
    <w:rsid w:val="00811D5C"/>
    <w:rsid w:val="00817EBB"/>
    <w:rsid w:val="00822D93"/>
    <w:rsid w:val="00830C11"/>
    <w:rsid w:val="00835B0F"/>
    <w:rsid w:val="00840AD9"/>
    <w:rsid w:val="008411BB"/>
    <w:rsid w:val="00842259"/>
    <w:rsid w:val="00843569"/>
    <w:rsid w:val="00844D22"/>
    <w:rsid w:val="00847CA8"/>
    <w:rsid w:val="00856B1D"/>
    <w:rsid w:val="008608F2"/>
    <w:rsid w:val="00861742"/>
    <w:rsid w:val="00861822"/>
    <w:rsid w:val="00867761"/>
    <w:rsid w:val="00870E0B"/>
    <w:rsid w:val="008730F8"/>
    <w:rsid w:val="0087678B"/>
    <w:rsid w:val="008822D7"/>
    <w:rsid w:val="008848B3"/>
    <w:rsid w:val="00884BC6"/>
    <w:rsid w:val="00884E9B"/>
    <w:rsid w:val="008876E9"/>
    <w:rsid w:val="008A2888"/>
    <w:rsid w:val="008A3975"/>
    <w:rsid w:val="008A5417"/>
    <w:rsid w:val="008C5E64"/>
    <w:rsid w:val="008C6F3E"/>
    <w:rsid w:val="008C7C55"/>
    <w:rsid w:val="008D6FFD"/>
    <w:rsid w:val="008D7F3B"/>
    <w:rsid w:val="008E0653"/>
    <w:rsid w:val="008F10AD"/>
    <w:rsid w:val="008F3395"/>
    <w:rsid w:val="00904D4C"/>
    <w:rsid w:val="00906FF2"/>
    <w:rsid w:val="00910DFE"/>
    <w:rsid w:val="009149EB"/>
    <w:rsid w:val="00935692"/>
    <w:rsid w:val="00935E4E"/>
    <w:rsid w:val="00937822"/>
    <w:rsid w:val="00945BA1"/>
    <w:rsid w:val="009461E7"/>
    <w:rsid w:val="009472C9"/>
    <w:rsid w:val="00950173"/>
    <w:rsid w:val="0095361B"/>
    <w:rsid w:val="0095362C"/>
    <w:rsid w:val="009569B7"/>
    <w:rsid w:val="00957724"/>
    <w:rsid w:val="00957C43"/>
    <w:rsid w:val="0096164C"/>
    <w:rsid w:val="00962725"/>
    <w:rsid w:val="0096285E"/>
    <w:rsid w:val="00962CAB"/>
    <w:rsid w:val="0096474E"/>
    <w:rsid w:val="00965359"/>
    <w:rsid w:val="00965B30"/>
    <w:rsid w:val="00974490"/>
    <w:rsid w:val="00982CCE"/>
    <w:rsid w:val="00985938"/>
    <w:rsid w:val="009A2F7D"/>
    <w:rsid w:val="009A54FA"/>
    <w:rsid w:val="009A7573"/>
    <w:rsid w:val="009B7AC9"/>
    <w:rsid w:val="009E301D"/>
    <w:rsid w:val="009E3B1A"/>
    <w:rsid w:val="009E6616"/>
    <w:rsid w:val="009F170A"/>
    <w:rsid w:val="009F6248"/>
    <w:rsid w:val="00A026E6"/>
    <w:rsid w:val="00A02EBB"/>
    <w:rsid w:val="00A057D0"/>
    <w:rsid w:val="00A06FEE"/>
    <w:rsid w:val="00A077BF"/>
    <w:rsid w:val="00A104AD"/>
    <w:rsid w:val="00A12673"/>
    <w:rsid w:val="00A13A06"/>
    <w:rsid w:val="00A16FD8"/>
    <w:rsid w:val="00A24280"/>
    <w:rsid w:val="00A34349"/>
    <w:rsid w:val="00A3581E"/>
    <w:rsid w:val="00A3636F"/>
    <w:rsid w:val="00A369B8"/>
    <w:rsid w:val="00A37246"/>
    <w:rsid w:val="00A426FD"/>
    <w:rsid w:val="00A51E4C"/>
    <w:rsid w:val="00A64956"/>
    <w:rsid w:val="00A656B9"/>
    <w:rsid w:val="00A66E7B"/>
    <w:rsid w:val="00A679EC"/>
    <w:rsid w:val="00A75712"/>
    <w:rsid w:val="00A76798"/>
    <w:rsid w:val="00A86904"/>
    <w:rsid w:val="00A90C4B"/>
    <w:rsid w:val="00A92B53"/>
    <w:rsid w:val="00A936E8"/>
    <w:rsid w:val="00A9528C"/>
    <w:rsid w:val="00A96307"/>
    <w:rsid w:val="00AA313A"/>
    <w:rsid w:val="00AA6ED3"/>
    <w:rsid w:val="00AB5056"/>
    <w:rsid w:val="00AC2766"/>
    <w:rsid w:val="00AC3E48"/>
    <w:rsid w:val="00AC406E"/>
    <w:rsid w:val="00AD35ED"/>
    <w:rsid w:val="00AE1743"/>
    <w:rsid w:val="00AE4FFE"/>
    <w:rsid w:val="00AE522B"/>
    <w:rsid w:val="00AF0993"/>
    <w:rsid w:val="00AF5FDC"/>
    <w:rsid w:val="00B03951"/>
    <w:rsid w:val="00B132C9"/>
    <w:rsid w:val="00B17CEA"/>
    <w:rsid w:val="00B33487"/>
    <w:rsid w:val="00B36D94"/>
    <w:rsid w:val="00B45EE6"/>
    <w:rsid w:val="00B5256E"/>
    <w:rsid w:val="00B5385A"/>
    <w:rsid w:val="00B565B3"/>
    <w:rsid w:val="00B565ED"/>
    <w:rsid w:val="00B566E8"/>
    <w:rsid w:val="00B67C92"/>
    <w:rsid w:val="00B825F7"/>
    <w:rsid w:val="00B848A9"/>
    <w:rsid w:val="00B86275"/>
    <w:rsid w:val="00B8670F"/>
    <w:rsid w:val="00B9342E"/>
    <w:rsid w:val="00B97C2A"/>
    <w:rsid w:val="00BB1A54"/>
    <w:rsid w:val="00BB2828"/>
    <w:rsid w:val="00BB5F8D"/>
    <w:rsid w:val="00BC0814"/>
    <w:rsid w:val="00BC26D2"/>
    <w:rsid w:val="00BC4A2D"/>
    <w:rsid w:val="00BC727A"/>
    <w:rsid w:val="00BC750F"/>
    <w:rsid w:val="00BD0BCD"/>
    <w:rsid w:val="00BD31F0"/>
    <w:rsid w:val="00BD5107"/>
    <w:rsid w:val="00BD62CC"/>
    <w:rsid w:val="00BD7D09"/>
    <w:rsid w:val="00BE2AAC"/>
    <w:rsid w:val="00BE7ABC"/>
    <w:rsid w:val="00BF1595"/>
    <w:rsid w:val="00BF6086"/>
    <w:rsid w:val="00BF78A7"/>
    <w:rsid w:val="00C01B3D"/>
    <w:rsid w:val="00C03124"/>
    <w:rsid w:val="00C03521"/>
    <w:rsid w:val="00C04C8A"/>
    <w:rsid w:val="00C059EA"/>
    <w:rsid w:val="00C132C7"/>
    <w:rsid w:val="00C1375F"/>
    <w:rsid w:val="00C14E63"/>
    <w:rsid w:val="00C228B2"/>
    <w:rsid w:val="00C22EE5"/>
    <w:rsid w:val="00C30A8C"/>
    <w:rsid w:val="00C426AA"/>
    <w:rsid w:val="00C4293E"/>
    <w:rsid w:val="00C56E6D"/>
    <w:rsid w:val="00C57E8A"/>
    <w:rsid w:val="00C63767"/>
    <w:rsid w:val="00C65C02"/>
    <w:rsid w:val="00C76137"/>
    <w:rsid w:val="00C8100A"/>
    <w:rsid w:val="00C83167"/>
    <w:rsid w:val="00C83BB9"/>
    <w:rsid w:val="00C84983"/>
    <w:rsid w:val="00C97D1E"/>
    <w:rsid w:val="00CA3386"/>
    <w:rsid w:val="00CA5824"/>
    <w:rsid w:val="00CB15B7"/>
    <w:rsid w:val="00CB2459"/>
    <w:rsid w:val="00CB31D9"/>
    <w:rsid w:val="00CB4FFD"/>
    <w:rsid w:val="00CC79A5"/>
    <w:rsid w:val="00CE0851"/>
    <w:rsid w:val="00CE0BCB"/>
    <w:rsid w:val="00CE5571"/>
    <w:rsid w:val="00CE5EC6"/>
    <w:rsid w:val="00CE70EA"/>
    <w:rsid w:val="00CF2392"/>
    <w:rsid w:val="00CF3015"/>
    <w:rsid w:val="00CF45A2"/>
    <w:rsid w:val="00D00A9F"/>
    <w:rsid w:val="00D0361B"/>
    <w:rsid w:val="00D17206"/>
    <w:rsid w:val="00D2264A"/>
    <w:rsid w:val="00D40321"/>
    <w:rsid w:val="00D40548"/>
    <w:rsid w:val="00D4161B"/>
    <w:rsid w:val="00D425AC"/>
    <w:rsid w:val="00D42C77"/>
    <w:rsid w:val="00D42F38"/>
    <w:rsid w:val="00D51430"/>
    <w:rsid w:val="00D5625C"/>
    <w:rsid w:val="00D56CB3"/>
    <w:rsid w:val="00D713A4"/>
    <w:rsid w:val="00D7517D"/>
    <w:rsid w:val="00D75536"/>
    <w:rsid w:val="00D93C21"/>
    <w:rsid w:val="00D947D2"/>
    <w:rsid w:val="00D957C8"/>
    <w:rsid w:val="00DA2C60"/>
    <w:rsid w:val="00DA3F20"/>
    <w:rsid w:val="00DA402E"/>
    <w:rsid w:val="00DB0619"/>
    <w:rsid w:val="00DB0795"/>
    <w:rsid w:val="00DB1FF5"/>
    <w:rsid w:val="00DB791A"/>
    <w:rsid w:val="00DD1F13"/>
    <w:rsid w:val="00DD2565"/>
    <w:rsid w:val="00DD3185"/>
    <w:rsid w:val="00DE40BD"/>
    <w:rsid w:val="00DF0CCB"/>
    <w:rsid w:val="00DF38CF"/>
    <w:rsid w:val="00DF4774"/>
    <w:rsid w:val="00DF5511"/>
    <w:rsid w:val="00DF560D"/>
    <w:rsid w:val="00E04F6C"/>
    <w:rsid w:val="00E2471A"/>
    <w:rsid w:val="00E406ED"/>
    <w:rsid w:val="00E42A26"/>
    <w:rsid w:val="00E53287"/>
    <w:rsid w:val="00E5456F"/>
    <w:rsid w:val="00E56949"/>
    <w:rsid w:val="00E6741B"/>
    <w:rsid w:val="00E724A2"/>
    <w:rsid w:val="00E77938"/>
    <w:rsid w:val="00E8210D"/>
    <w:rsid w:val="00E8790B"/>
    <w:rsid w:val="00E900BC"/>
    <w:rsid w:val="00E92293"/>
    <w:rsid w:val="00E97F56"/>
    <w:rsid w:val="00EB5C97"/>
    <w:rsid w:val="00EB6891"/>
    <w:rsid w:val="00EC2ECB"/>
    <w:rsid w:val="00EC4AD8"/>
    <w:rsid w:val="00EC51A3"/>
    <w:rsid w:val="00ED03A3"/>
    <w:rsid w:val="00ED5AC9"/>
    <w:rsid w:val="00EE1F44"/>
    <w:rsid w:val="00EE2B33"/>
    <w:rsid w:val="00EE2CB8"/>
    <w:rsid w:val="00EE49E1"/>
    <w:rsid w:val="00EE753B"/>
    <w:rsid w:val="00EF4468"/>
    <w:rsid w:val="00EF70F3"/>
    <w:rsid w:val="00F02738"/>
    <w:rsid w:val="00F05DC8"/>
    <w:rsid w:val="00F11618"/>
    <w:rsid w:val="00F22758"/>
    <w:rsid w:val="00F2684F"/>
    <w:rsid w:val="00F370CD"/>
    <w:rsid w:val="00F42E6F"/>
    <w:rsid w:val="00F45517"/>
    <w:rsid w:val="00F502C9"/>
    <w:rsid w:val="00F5183E"/>
    <w:rsid w:val="00F52766"/>
    <w:rsid w:val="00F53DD9"/>
    <w:rsid w:val="00F559CF"/>
    <w:rsid w:val="00F61E77"/>
    <w:rsid w:val="00F66552"/>
    <w:rsid w:val="00F70F5F"/>
    <w:rsid w:val="00F73517"/>
    <w:rsid w:val="00F73601"/>
    <w:rsid w:val="00F76592"/>
    <w:rsid w:val="00F8301D"/>
    <w:rsid w:val="00F91183"/>
    <w:rsid w:val="00FA79DB"/>
    <w:rsid w:val="00FB5C54"/>
    <w:rsid w:val="00FB72DB"/>
    <w:rsid w:val="00FC39F3"/>
    <w:rsid w:val="00FD2A35"/>
    <w:rsid w:val="00FE2485"/>
    <w:rsid w:val="00FE338C"/>
    <w:rsid w:val="00FE3806"/>
    <w:rsid w:val="00FE7B39"/>
    <w:rsid w:val="00FF2A14"/>
    <w:rsid w:val="00FF2A30"/>
    <w:rsid w:val="015177E1"/>
    <w:rsid w:val="02026E2D"/>
    <w:rsid w:val="028916DF"/>
    <w:rsid w:val="03F27988"/>
    <w:rsid w:val="05AB7BBE"/>
    <w:rsid w:val="06194327"/>
    <w:rsid w:val="07F40AB3"/>
    <w:rsid w:val="0EF06D9D"/>
    <w:rsid w:val="15CF44F7"/>
    <w:rsid w:val="1E7F4E6D"/>
    <w:rsid w:val="21111EC0"/>
    <w:rsid w:val="228D4E9C"/>
    <w:rsid w:val="22D05776"/>
    <w:rsid w:val="2432352D"/>
    <w:rsid w:val="358555E2"/>
    <w:rsid w:val="3C84126C"/>
    <w:rsid w:val="3F62270C"/>
    <w:rsid w:val="3FA71D31"/>
    <w:rsid w:val="436C3712"/>
    <w:rsid w:val="43AB20C9"/>
    <w:rsid w:val="45D73F24"/>
    <w:rsid w:val="461B60BF"/>
    <w:rsid w:val="4AAE7674"/>
    <w:rsid w:val="4CC31705"/>
    <w:rsid w:val="4F2558B8"/>
    <w:rsid w:val="53820528"/>
    <w:rsid w:val="5CB610C5"/>
    <w:rsid w:val="5F88085E"/>
    <w:rsid w:val="63EB1121"/>
    <w:rsid w:val="66BD19BC"/>
    <w:rsid w:val="6C3870FA"/>
    <w:rsid w:val="6E1B63AC"/>
    <w:rsid w:val="6F733806"/>
    <w:rsid w:val="743A7155"/>
    <w:rsid w:val="74C44E7A"/>
    <w:rsid w:val="75135A18"/>
    <w:rsid w:val="762A53DF"/>
    <w:rsid w:val="7A336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520" w:lineRule="exact"/>
      <w:ind w:firstLine="600" w:firstLineChars="200"/>
    </w:pPr>
    <w:rPr>
      <w:rFonts w:ascii="微软雅黑" w:hAnsi="微软雅黑" w:eastAsia="仿宋" w:cs="微软雅黑"/>
      <w:sz w:val="24"/>
      <w:szCs w:val="22"/>
      <w:lang w:val="zh-CN" w:eastAsia="zh-CN" w:bidi="zh-CN"/>
    </w:rPr>
  </w:style>
  <w:style w:type="paragraph" w:styleId="3">
    <w:name w:val="heading 2"/>
    <w:basedOn w:val="1"/>
    <w:next w:val="1"/>
    <w:link w:val="16"/>
    <w:semiHidden/>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15"/>
    <w:unhideWhenUsed/>
    <w:qFormat/>
    <w:uiPriority w:val="0"/>
    <w:pPr>
      <w:keepNext/>
      <w:keepLines/>
      <w:spacing w:beforeLines="50" w:afterLines="50" w:line="360" w:lineRule="auto"/>
      <w:ind w:firstLine="560"/>
      <w:outlineLvl w:val="2"/>
    </w:pPr>
    <w:rPr>
      <w: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5">
    <w:name w:val="Body Text"/>
    <w:basedOn w:val="1"/>
    <w:next w:val="1"/>
    <w:qFormat/>
    <w:uiPriority w:val="0"/>
    <w:rPr>
      <w:b/>
      <w:bCs/>
    </w:rPr>
  </w:style>
  <w:style w:type="paragraph" w:styleId="6">
    <w:name w:val="Balloon Text"/>
    <w:basedOn w:val="1"/>
    <w:link w:val="17"/>
    <w:semiHidden/>
    <w:unhideWhenUsed/>
    <w:qFormat/>
    <w:uiPriority w:val="99"/>
    <w:pPr>
      <w:spacing w:line="240" w:lineRule="auto"/>
    </w:pPr>
    <w:rPr>
      <w:sz w:val="18"/>
      <w:szCs w:val="18"/>
    </w:rPr>
  </w:style>
  <w:style w:type="paragraph" w:styleId="7">
    <w:name w:val="footer"/>
    <w:basedOn w:val="1"/>
    <w:link w:val="14"/>
    <w:unhideWhenUsed/>
    <w:qFormat/>
    <w:uiPriority w:val="99"/>
    <w:pPr>
      <w:tabs>
        <w:tab w:val="center" w:pos="4153"/>
        <w:tab w:val="right" w:pos="8306"/>
      </w:tabs>
      <w:autoSpaceDE/>
      <w:autoSpaceDN/>
      <w:snapToGrid w:val="0"/>
      <w:spacing w:line="240" w:lineRule="auto"/>
      <w:ind w:firstLine="0" w:firstLineChars="0"/>
    </w:pPr>
    <w:rPr>
      <w:rFonts w:asciiTheme="minorHAnsi" w:hAnsiTheme="minorHAnsi" w:eastAsiaTheme="minorEastAsia" w:cstheme="minorBidi"/>
      <w:kern w:val="2"/>
      <w:sz w:val="18"/>
      <w:szCs w:val="18"/>
      <w:lang w:val="en-US" w:bidi="ar-SA"/>
    </w:rPr>
  </w:style>
  <w:style w:type="paragraph" w:styleId="8">
    <w:name w:val="header"/>
    <w:basedOn w:val="1"/>
    <w:link w:val="13"/>
    <w:semiHidden/>
    <w:unhideWhenUsed/>
    <w:qFormat/>
    <w:uiPriority w:val="99"/>
    <w:pPr>
      <w:pBdr>
        <w:bottom w:val="single" w:color="auto" w:sz="6" w:space="1"/>
      </w:pBdr>
      <w:tabs>
        <w:tab w:val="center" w:pos="4153"/>
        <w:tab w:val="right" w:pos="8306"/>
      </w:tabs>
      <w:autoSpaceDE/>
      <w:autoSpaceDN/>
      <w:snapToGrid w:val="0"/>
      <w:spacing w:line="240" w:lineRule="auto"/>
      <w:ind w:firstLine="0" w:firstLineChars="0"/>
      <w:jc w:val="center"/>
    </w:pPr>
    <w:rPr>
      <w:rFonts w:asciiTheme="minorHAnsi" w:hAnsiTheme="minorHAnsi" w:eastAsiaTheme="minorEastAsia" w:cstheme="minorBidi"/>
      <w:kern w:val="2"/>
      <w:sz w:val="18"/>
      <w:szCs w:val="18"/>
      <w:lang w:val="en-US" w:bidi="ar-SA"/>
    </w:rPr>
  </w:style>
  <w:style w:type="paragraph" w:styleId="9">
    <w:name w:val="Normal (Web)"/>
    <w:basedOn w:val="1"/>
    <w:unhideWhenUsed/>
    <w:qFormat/>
    <w:uiPriority w:val="99"/>
    <w:pPr>
      <w:widowControl/>
      <w:autoSpaceDE/>
      <w:autoSpaceDN/>
      <w:spacing w:before="100" w:beforeAutospacing="1" w:after="100" w:afterAutospacing="1" w:line="240" w:lineRule="auto"/>
      <w:ind w:firstLine="0" w:firstLineChars="0"/>
    </w:pPr>
    <w:rPr>
      <w:rFonts w:ascii="宋体" w:hAnsi="宋体" w:eastAsia="宋体" w:cs="宋体"/>
      <w:szCs w:val="24"/>
      <w:lang w:val="en-US" w:bidi="ar-SA"/>
    </w:rPr>
  </w:style>
  <w:style w:type="paragraph" w:styleId="10">
    <w:name w:val="Body Text First Indent"/>
    <w:basedOn w:val="5"/>
    <w:qFormat/>
    <w:uiPriority w:val="0"/>
    <w:pPr>
      <w:ind w:firstLine="420" w:firstLineChars="100"/>
    </w:p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标题 3 Char"/>
    <w:basedOn w:val="12"/>
    <w:link w:val="4"/>
    <w:qFormat/>
    <w:uiPriority w:val="0"/>
    <w:rPr>
      <w:rFonts w:ascii="微软雅黑" w:hAnsi="微软雅黑" w:eastAsia="仿宋" w:cs="微软雅黑"/>
      <w:b/>
      <w:kern w:val="0"/>
      <w:sz w:val="24"/>
      <w:lang w:val="zh-CN" w:bidi="zh-CN"/>
    </w:rPr>
  </w:style>
  <w:style w:type="character" w:customStyle="1" w:styleId="16">
    <w:name w:val="标题 2 Char"/>
    <w:basedOn w:val="12"/>
    <w:link w:val="3"/>
    <w:semiHidden/>
    <w:qFormat/>
    <w:uiPriority w:val="9"/>
    <w:rPr>
      <w:rFonts w:asciiTheme="majorHAnsi" w:hAnsiTheme="majorHAnsi" w:eastAsiaTheme="majorEastAsia" w:cstheme="majorBidi"/>
      <w:b/>
      <w:bCs/>
      <w:kern w:val="0"/>
      <w:sz w:val="32"/>
      <w:szCs w:val="32"/>
      <w:lang w:val="zh-CN" w:bidi="zh-CN"/>
    </w:rPr>
  </w:style>
  <w:style w:type="character" w:customStyle="1" w:styleId="17">
    <w:name w:val="批注框文本 Char"/>
    <w:basedOn w:val="12"/>
    <w:link w:val="6"/>
    <w:semiHidden/>
    <w:qFormat/>
    <w:uiPriority w:val="99"/>
    <w:rPr>
      <w:rFonts w:ascii="微软雅黑" w:hAnsi="微软雅黑" w:eastAsia="仿宋" w:cs="微软雅黑"/>
      <w:kern w:val="0"/>
      <w:sz w:val="18"/>
      <w:szCs w:val="18"/>
      <w:lang w:val="zh-CN" w:bidi="zh-CN"/>
    </w:rPr>
  </w:style>
  <w:style w:type="paragraph" w:styleId="18">
    <w:name w:val="List Paragraph"/>
    <w:basedOn w:val="1"/>
    <w:qFormat/>
    <w:uiPriority w:val="34"/>
    <w:pPr>
      <w:ind w:firstLine="420"/>
    </w:pPr>
  </w:style>
  <w:style w:type="paragraph" w:customStyle="1" w:styleId="19">
    <w:name w:val="修订1"/>
    <w:hidden/>
    <w:semiHidden/>
    <w:qFormat/>
    <w:uiPriority w:val="99"/>
    <w:rPr>
      <w:rFonts w:ascii="微软雅黑" w:hAnsi="微软雅黑" w:eastAsia="仿宋" w:cs="微软雅黑"/>
      <w:sz w:val="24"/>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33A47A-B571-4EA9-B9B7-4DDBEB2D0CE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4221</Words>
  <Characters>4276</Characters>
  <Lines>31</Lines>
  <Paragraphs>8</Paragraphs>
  <TotalTime>1</TotalTime>
  <ScaleCrop>false</ScaleCrop>
  <LinksUpToDate>false</LinksUpToDate>
  <CharactersWithSpaces>4452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2022-04-14T07:13:00Z</dcterms:created>
  <dc:creator>微软用户</dc:creator>
  <cp:lastModifiedBy>泰山-松融雪</cp:lastModifiedBy>
  <cp:lastPrinted>2022-06-29T01:24:00Z</cp:lastPrinted>
  <dcterms:modified xsi:type="dcterms:W3CDTF">2022-09-19T06:39:38Z</dcterms:modified>
  <cp:revision>376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D7E9D89A67F0454DA7864917DBEA62BF</vt:lpwstr>
  </property>
</Properties>
</file>